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57FD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2026年第一季度抗菌药物使用情况及医嘱评价报告</w:t>
      </w:r>
    </w:p>
    <w:p w14:paraId="61733499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抗菌药物使用情况</w:t>
      </w:r>
    </w:p>
    <w:p w14:paraId="5DC62193">
      <w:pPr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（一）全院抗菌药物使用率、使用强度</w:t>
      </w:r>
    </w:p>
    <w:p w14:paraId="3E5CE606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2026年第一季度全院各科室抗菌药物使用率和使用强度如下表，国家要求住院患者抗菌药物使用率不超过60%，使用强度不超过40。全院第一季度抗菌药物使用率49.05%，符合国家要求；全院第一季度抗菌药物使用强度为30.72，符合国家要求，具体数据见表1。结合我院抗菌药物使用强度责任指标和专项考核办法，本季度对全院使用碳青霉烯类抗菌药物、Ⅰ类手术切口、普通医嘱进行了合理性评价，评价结果已反馈给相关科室。各临床科室应严格把握抗菌药物应用指征，提高用药合理性，职能科室加强管控与督导，多部门协作将该项指标控制在合理水平。</w:t>
      </w:r>
    </w:p>
    <w:p w14:paraId="5669C1F4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1：</w:t>
      </w:r>
      <w:r>
        <w:drawing>
          <wp:inline distT="0" distB="0" distL="114300" distR="114300">
            <wp:extent cx="5193030" cy="4546600"/>
            <wp:effectExtent l="0" t="0" r="762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40EDAD">
      <w:pPr>
        <w:widowControl w:val="0"/>
        <w:numPr>
          <w:ilvl w:val="0"/>
          <w:numId w:val="0"/>
        </w:numPr>
        <w:spacing w:line="360" w:lineRule="auto"/>
        <w:jc w:val="center"/>
        <w:rPr>
          <w:color w:val="auto"/>
        </w:rPr>
      </w:pPr>
    </w:p>
    <w:p w14:paraId="749D6CC5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（二）各科室抗菌药物使用强度</w:t>
      </w:r>
    </w:p>
    <w:p w14:paraId="33D31301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1、2、3月各病区抗菌药物使用强度对比见表2、图1，黄色横线为国家标准，绿色柱状图的科室为达标科室，蓝色的为超标科室。根据第三季度抗菌药物医嘱合理性评价发现的问题，建议各临床科室严格把握抗菌药物使用指征，减少不必要的联合用药，规范抗菌药的用法用量，缩短使用疗程，从而减少抗菌药物使用，减少药品费用占比，提高合理用药水平。</w:t>
      </w:r>
    </w:p>
    <w:p w14:paraId="06761FCC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表2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2026年1、2、3月各病区抗菌药物使用强度</w:t>
      </w:r>
    </w:p>
    <w:p w14:paraId="3E461D0C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770" cy="5483225"/>
            <wp:effectExtent l="0" t="0" r="508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8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F4DA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图1</w:t>
      </w:r>
    </w:p>
    <w:p w14:paraId="0E33D0AB">
      <w:pPr>
        <w:widowControl w:val="0"/>
        <w:numPr>
          <w:ilvl w:val="0"/>
          <w:numId w:val="0"/>
        </w:numPr>
        <w:spacing w:line="360" w:lineRule="auto"/>
        <w:jc w:val="center"/>
      </w:pPr>
    </w:p>
    <w:p w14:paraId="7048581F">
      <w:pPr>
        <w:widowControl w:val="0"/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5267960" cy="3564890"/>
            <wp:effectExtent l="4445" t="4445" r="23495" b="12065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7B0B6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Ι类切口手术预防用药医嘱评价</w:t>
      </w:r>
    </w:p>
    <w:p w14:paraId="7B6A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（一）评价依据：</w:t>
      </w:r>
      <w:r>
        <w:rPr>
          <w:rFonts w:hint="eastAsia" w:ascii="宋体" w:hAnsi="宋体"/>
          <w:bCs/>
          <w:color w:val="auto"/>
          <w:kern w:val="0"/>
          <w:sz w:val="24"/>
          <w:szCs w:val="24"/>
        </w:rPr>
        <w:t>《国家抗微生物治疗指南（第3版）》《抗菌药物临床应用指导原则》（2015版）</w:t>
      </w:r>
      <w:r>
        <w:rPr>
          <w:rFonts w:hint="eastAsia" w:ascii="宋体" w:hAnsi="宋体" w:eastAsia="宋体" w:cs="Times New Roman"/>
          <w:bCs/>
          <w:color w:val="auto"/>
          <w:kern w:val="0"/>
          <w:sz w:val="24"/>
          <w:szCs w:val="24"/>
        </w:rPr>
        <w:t>《医院处方点评管理规范（试行）》药品说明书。</w:t>
      </w:r>
    </w:p>
    <w:p w14:paraId="145AF439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（二）调查病例情况及抽样方法：</w:t>
      </w:r>
      <w:r>
        <w:rPr>
          <w:rFonts w:hint="eastAsia" w:ascii="宋体" w:hAnsi="宋体"/>
          <w:bCs/>
          <w:color w:val="auto"/>
          <w:sz w:val="24"/>
          <w:szCs w:val="24"/>
        </w:rPr>
        <w:t>由HIS系统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提取</w:t>
      </w:r>
      <w:r>
        <w:rPr>
          <w:rFonts w:hint="eastAsia" w:ascii="宋体" w:hAnsi="宋体"/>
          <w:bCs/>
          <w:color w:val="auto"/>
          <w:sz w:val="24"/>
          <w:szCs w:val="24"/>
        </w:rPr>
        <w:t>202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auto"/>
          <w:sz w:val="24"/>
          <w:szCs w:val="24"/>
        </w:rPr>
        <w:t>年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第一季度</w:t>
      </w:r>
      <w:r>
        <w:rPr>
          <w:rFonts w:hint="eastAsia" w:ascii="宋体" w:hAnsi="宋体"/>
          <w:bCs/>
          <w:color w:val="auto"/>
          <w:sz w:val="24"/>
          <w:szCs w:val="24"/>
        </w:rPr>
        <w:t>出院的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Ι</w:t>
      </w:r>
      <w:r>
        <w:rPr>
          <w:rFonts w:hint="eastAsia" w:ascii="宋体" w:hAnsi="宋体"/>
          <w:bCs/>
          <w:color w:val="auto"/>
          <w:sz w:val="24"/>
          <w:szCs w:val="24"/>
        </w:rPr>
        <w:t>类切口手术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病例256例</w:t>
      </w:r>
      <w:r>
        <w:rPr>
          <w:rFonts w:hint="eastAsia" w:ascii="宋体" w:hAnsi="宋体"/>
          <w:bCs/>
          <w:color w:val="auto"/>
          <w:sz w:val="24"/>
          <w:szCs w:val="24"/>
        </w:rPr>
        <w:t>，其中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54例</w:t>
      </w:r>
      <w:r>
        <w:rPr>
          <w:rFonts w:hint="eastAsia" w:ascii="宋体" w:hAnsi="宋体"/>
          <w:bCs/>
          <w:color w:val="auto"/>
          <w:sz w:val="24"/>
          <w:szCs w:val="24"/>
        </w:rPr>
        <w:t>使用了</w:t>
      </w:r>
      <w:r>
        <w:rPr>
          <w:rFonts w:ascii="宋体" w:hAnsi="宋体"/>
          <w:bCs/>
          <w:color w:val="auto"/>
          <w:sz w:val="24"/>
          <w:szCs w:val="24"/>
        </w:rPr>
        <w:t>抗菌药物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合理29例，不合理25例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</w:rPr>
        <w:t>。</w:t>
      </w:r>
    </w:p>
    <w:p w14:paraId="7F32E311">
      <w:pPr>
        <w:numPr>
          <w:ilvl w:val="0"/>
          <w:numId w:val="0"/>
        </w:numPr>
        <w:spacing w:line="360" w:lineRule="auto"/>
        <w:rPr>
          <w:rFonts w:hint="default" w:ascii="宋体" w:hAnsi="宋体" w:cs="宋体" w:eastAsia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评价结果汇总</w:t>
      </w:r>
    </w:p>
    <w:tbl>
      <w:tblPr>
        <w:tblStyle w:val="6"/>
        <w:tblpPr w:leftFromText="180" w:rightFromText="180" w:vertAnchor="text" w:horzAnchor="page" w:tblpX="122" w:tblpY="455"/>
        <w:tblOverlap w:val="never"/>
        <w:tblW w:w="11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31AA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手术例数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使用抗菌药物例数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合理用药例数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不合理用药例数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不合理用药情况</w:t>
            </w:r>
          </w:p>
        </w:tc>
      </w:tr>
      <w:tr w14:paraId="210E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F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4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94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无预防用药指征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预防用药超疗程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用药时程过长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遴选药品不适宜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用法用量不适宜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联合用药不适宜</w:t>
            </w:r>
          </w:p>
        </w:tc>
      </w:tr>
      <w:tr w14:paraId="3F93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外一科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193E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骨一科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A18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外四科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20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心内科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13D6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神内科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C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0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F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6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2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F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2E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疼痛科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4063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6AC7F28C">
      <w:pPr>
        <w:pStyle w:val="9"/>
        <w:spacing w:line="360" w:lineRule="auto"/>
        <w:ind w:firstLine="482" w:firstLineChars="200"/>
        <w:jc w:val="both"/>
        <w:rPr>
          <w:rFonts w:hint="eastAsia" w:ascii="宋体" w:hAnsi="宋体" w:eastAsiaTheme="minorEastAsia"/>
          <w:b/>
          <w:color w:val="auto"/>
          <w:sz w:val="24"/>
          <w:szCs w:val="24"/>
          <w:lang w:eastAsia="zh-CN"/>
        </w:rPr>
      </w:pPr>
    </w:p>
    <w:p w14:paraId="0CDE6D48">
      <w:pPr>
        <w:spacing w:line="360" w:lineRule="auto"/>
        <w:ind w:firstLine="482" w:firstLineChars="200"/>
        <w:jc w:val="left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（四）问题分析</w:t>
      </w:r>
      <w:r>
        <w:rPr>
          <w:rFonts w:ascii="宋体" w:hAnsi="宋体"/>
          <w:b/>
          <w:bCs/>
          <w:color w:val="auto"/>
          <w:sz w:val="24"/>
          <w:szCs w:val="24"/>
        </w:rPr>
        <w:t>及建议</w:t>
      </w:r>
    </w:p>
    <w:p w14:paraId="246A6451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 w:ascii="宋体" w:hAnsi="宋体" w:eastAsia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无预防用药指征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此次点评无预防用药指征有9例，占不合理总病例数的36.0%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详情见下表。</w:t>
      </w:r>
    </w:p>
    <w:p w14:paraId="51A2A455">
      <w:pPr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无预防用药指征的病例</w:t>
      </w:r>
    </w:p>
    <w:tbl>
      <w:tblPr>
        <w:tblStyle w:val="6"/>
        <w:tblW w:w="8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25"/>
        <w:gridCol w:w="1314"/>
        <w:gridCol w:w="3960"/>
        <w:gridCol w:w="1263"/>
      </w:tblGrid>
      <w:tr w14:paraId="0DA6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16A053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A90D3C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病案号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87B367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科别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2A4092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全部手术名称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F37B0E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用药天数</w:t>
            </w:r>
          </w:p>
        </w:tc>
      </w:tr>
      <w:tr w14:paraId="1EBE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C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62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438885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DB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06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关节镜膝关节滑膜切除术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0B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10天</w:t>
            </w:r>
          </w:p>
        </w:tc>
      </w:tr>
      <w:tr w14:paraId="388DA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17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6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439726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89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疼痛科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01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椎间盘镜下后入路腰椎间盘切除术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E393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3天</w:t>
            </w:r>
          </w:p>
        </w:tc>
      </w:tr>
      <w:tr w14:paraId="3FC2E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0D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93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440115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4A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88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肩关节镜下肩袖修补术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D24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6天</w:t>
            </w:r>
          </w:p>
        </w:tc>
      </w:tr>
      <w:tr w14:paraId="7218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A6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1F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439872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1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A5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关节镜肘关节病损切除术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A27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8天</w:t>
            </w:r>
          </w:p>
        </w:tc>
      </w:tr>
      <w:tr w14:paraId="3D0C3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84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7B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440175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C9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19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胫骨内固定装置去除术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D0DB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7天</w:t>
            </w:r>
          </w:p>
        </w:tc>
      </w:tr>
      <w:tr w14:paraId="378E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7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AE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438864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94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79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手部腱鞘囊肿切除术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4157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1天</w:t>
            </w:r>
          </w:p>
        </w:tc>
      </w:tr>
      <w:tr w14:paraId="2FE9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9D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16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440266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78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85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胫骨骨折切开复位钢板内固定术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A544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10天</w:t>
            </w:r>
          </w:p>
        </w:tc>
      </w:tr>
      <w:tr w14:paraId="18BF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23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B3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440600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E0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CA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跖骨骨折切开复位螺钉内固定术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ABF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5天</w:t>
            </w:r>
          </w:p>
        </w:tc>
      </w:tr>
      <w:tr w14:paraId="09F4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A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C6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440638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6D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26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肱骨骨折切开复位钢板内固定术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BF2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3天</w:t>
            </w:r>
          </w:p>
        </w:tc>
      </w:tr>
    </w:tbl>
    <w:p w14:paraId="07D99DC8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按国卫办医发（2015）42号文要求，腹股沟疝补片修补术、甲状腺手术、乳腺疾病手术、关节镜检查、颈动脉内膜剥脱术、颅骨肿物切除术等手术，原则上不预防使用抗菌药物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。Ⅰ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类切口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手术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存在感染高危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因素时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a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.手术范围大、手术时间长、污染机会增加；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b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.手术涉及重要脏器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如：头颅手术、心脏手术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c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.异物植入手术；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d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.有感染高危因素如高龄、糖尿病、免疫功能低下、营养不良等）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方可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预防用药。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严格把握Ⅰ类切口手术预防使用抗菌药物指征，不合并感染高危因素时，不需要预防性使用抗菌药物。</w:t>
      </w:r>
    </w:p>
    <w:p w14:paraId="22694AC4">
      <w:pPr>
        <w:pStyle w:val="9"/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lang w:val="en-US" w:eastAsia="zh-CN"/>
        </w:rPr>
        <w:t>预防用药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超疗程：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此次点评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预防用药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超疗程有10例，占不合理总病例数的40.0%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详情见下表。</w:t>
      </w:r>
    </w:p>
    <w:p w14:paraId="77530650">
      <w:pPr>
        <w:ind w:firstLine="480" w:firstLineChars="200"/>
        <w:jc w:val="center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手术预防用药时间超过1天的病例</w:t>
      </w:r>
    </w:p>
    <w:tbl>
      <w:tblPr>
        <w:tblStyle w:val="6"/>
        <w:tblW w:w="92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836"/>
        <w:gridCol w:w="1282"/>
        <w:gridCol w:w="3825"/>
        <w:gridCol w:w="1286"/>
      </w:tblGrid>
      <w:tr w14:paraId="69BB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4BA0FC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0CC223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病案号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72415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科别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88E05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手术名称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231BD9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用药天数</w:t>
            </w:r>
          </w:p>
        </w:tc>
      </w:tr>
      <w:tr w14:paraId="6EB8A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1D8240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6F1F5C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439220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62AEF5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C8E13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关节镜膝关节检查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38C779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5天</w:t>
            </w:r>
          </w:p>
        </w:tc>
      </w:tr>
      <w:tr w14:paraId="617A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454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BE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439339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B0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24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zh-CN"/>
              </w:rPr>
              <w:t>关节镜膝关节检查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1A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6天</w:t>
            </w:r>
          </w:p>
        </w:tc>
      </w:tr>
      <w:tr w14:paraId="6E2D6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17387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027A6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439857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8E297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1C155D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人工股骨头置换术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E96459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9天</w:t>
            </w:r>
          </w:p>
        </w:tc>
      </w:tr>
      <w:tr w14:paraId="471E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491540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F8F13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439541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F6D79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88B29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全髋关节置换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61ADFF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5天</w:t>
            </w:r>
          </w:p>
        </w:tc>
      </w:tr>
      <w:tr w14:paraId="6F47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42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2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440220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41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86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zh-CN"/>
              </w:rPr>
              <w:t>锁骨骨折切开复位钢板内固定术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7B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7天</w:t>
            </w:r>
          </w:p>
        </w:tc>
      </w:tr>
      <w:tr w14:paraId="70404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E6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C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426354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C8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5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zh-CN"/>
              </w:rPr>
              <w:t>踝关节内固定装置去除术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7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5天</w:t>
            </w:r>
          </w:p>
        </w:tc>
      </w:tr>
      <w:tr w14:paraId="789A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2E940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4B37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407965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E59B0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AA7353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关节镜肩关节检查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3F5F0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6天</w:t>
            </w:r>
          </w:p>
        </w:tc>
      </w:tr>
      <w:tr w14:paraId="08196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59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91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439901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EE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2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zh-CN"/>
              </w:rPr>
              <w:t>全髋关节置换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52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9天</w:t>
            </w:r>
          </w:p>
        </w:tc>
      </w:tr>
      <w:tr w14:paraId="2D8D9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CB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F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440338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EB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1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zh-CN"/>
              </w:rPr>
              <w:t>全髋关节置换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6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8天</w:t>
            </w:r>
          </w:p>
        </w:tc>
      </w:tr>
      <w:tr w14:paraId="1420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0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D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440147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DC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疼痛科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22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zh-CN" w:eastAsia="zh-CN" w:bidi="ar-SA"/>
              </w:rPr>
              <w:t>椎间盘镜下后入路腰椎间盘切除术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97A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5天</w:t>
            </w:r>
          </w:p>
        </w:tc>
      </w:tr>
    </w:tbl>
    <w:p w14:paraId="1DBD114D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根据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《抗菌药物临床应用指导原则》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Ⅰ类切口手术一般不预防使用抗菌药物，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如患者存在感染高危因素，</w:t>
      </w:r>
      <w:r>
        <w:rPr>
          <w:rFonts w:hint="eastAsia" w:ascii="宋体" w:hAnsi="宋体"/>
          <w:color w:val="auto"/>
          <w:sz w:val="24"/>
          <w:szCs w:val="24"/>
        </w:rPr>
        <w:t>确需使用时，要严格掌握适应证、药物选择、用药起始与持续时间。过度延长用药时间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不仅会增加药品治疗费用、增加药品不良反应的发生概率，</w:t>
      </w:r>
      <w:r>
        <w:rPr>
          <w:rFonts w:hint="eastAsia" w:ascii="宋体" w:hAnsi="宋体"/>
          <w:color w:val="auto"/>
          <w:sz w:val="24"/>
          <w:szCs w:val="24"/>
        </w:rPr>
        <w:t>且预防用药时间超过48小时，耐药菌感染机会增加。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进一步规范</w:t>
      </w:r>
      <w:r>
        <w:rPr>
          <w:rFonts w:hint="eastAsia" w:ascii="宋体" w:hAnsi="宋体"/>
          <w:color w:val="auto"/>
          <w:sz w:val="24"/>
          <w:szCs w:val="24"/>
        </w:rPr>
        <w:t>Ⅰ类切口预防用药疗程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24小时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，如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有继发</w:t>
      </w:r>
      <w:r>
        <w:rPr>
          <w:rFonts w:hint="eastAsia" w:ascii="宋体" w:hAnsi="宋体"/>
          <w:color w:val="auto"/>
          <w:sz w:val="24"/>
          <w:szCs w:val="24"/>
        </w:rPr>
        <w:t>感染属治疗性用药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需在病程记录中体现</w:t>
      </w:r>
      <w:r>
        <w:rPr>
          <w:rFonts w:hint="eastAsia" w:ascii="宋体" w:hAnsi="宋体"/>
          <w:color w:val="auto"/>
          <w:sz w:val="24"/>
          <w:szCs w:val="24"/>
        </w:rPr>
        <w:t>，应及时采集标本送细菌学检验，尽量根据药敏试验结果选用敏感药物进行治疗。</w:t>
      </w:r>
    </w:p>
    <w:p w14:paraId="0A23F12C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bCs w:val="0"/>
          <w:color w:val="auto"/>
          <w:sz w:val="24"/>
          <w:szCs w:val="24"/>
          <w:lang w:val="en-US" w:eastAsia="zh-CN"/>
        </w:rPr>
        <w:t>遴选药品不适宜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此次点评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遴选药品不适宜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有5例，占不合理总病例数的20.0%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详情见下表。</w:t>
      </w:r>
    </w:p>
    <w:p w14:paraId="2FA0D164"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遴选药品不适宜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的病例</w:t>
      </w:r>
    </w:p>
    <w:tbl>
      <w:tblPr>
        <w:tblStyle w:val="6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35"/>
        <w:gridCol w:w="985"/>
        <w:gridCol w:w="4062"/>
        <w:gridCol w:w="2403"/>
      </w:tblGrid>
      <w:tr w14:paraId="4DFB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DE621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ADD3E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病案号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4E08A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科别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C7F7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全部手术名称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64C37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遴选药品</w:t>
            </w:r>
          </w:p>
        </w:tc>
      </w:tr>
      <w:tr w14:paraId="70A7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2363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1F78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426354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3216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DA04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踝关节内固定装置去除术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C1E23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左氧氟沙星氯化钠注射液0.5g静滴qd</w:t>
            </w:r>
          </w:p>
        </w:tc>
      </w:tr>
      <w:tr w14:paraId="4B83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3D7A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8A1E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439726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7C8C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疼痛科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8C3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椎间盘镜下后入路腰椎间盘切除术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DF13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zh-CN"/>
              </w:rPr>
              <w:t>注射用头孢曲松2g静滴qd</w:t>
            </w:r>
          </w:p>
        </w:tc>
      </w:tr>
      <w:tr w14:paraId="675E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B67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531E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440147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9D7E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疼痛科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E57D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椎间盘镜下后入路腰椎间盘切除术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E94E9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注射用头孢曲松钠 2g 静脉滴注 qd</w:t>
            </w:r>
          </w:p>
        </w:tc>
      </w:tr>
      <w:tr w14:paraId="01D7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0EAA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1DE3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440148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1F0A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疼痛科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F4D7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椎间盘镜下后入路腰椎间盘切除术</w:t>
            </w: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CF804D"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zh-CN"/>
              </w:rPr>
              <w:t>注射用头孢曲松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钠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zh-CN"/>
              </w:rPr>
              <w:t>2g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泵入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zh-CN"/>
              </w:rPr>
              <w:t>qd</w:t>
            </w:r>
          </w:p>
        </w:tc>
      </w:tr>
      <w:tr w14:paraId="30C6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vAlign w:val="center"/>
          </w:tcPr>
          <w:p w14:paraId="3551E1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1E0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440638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6EB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外四科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62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肱骨骨折切开复位钢板内固定术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EAE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zh-CN"/>
              </w:rPr>
              <w:t>左氧氟沙星氯化钠注射液0.5g静滴qd</w:t>
            </w:r>
          </w:p>
        </w:tc>
      </w:tr>
    </w:tbl>
    <w:p w14:paraId="09B2DE8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根据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《抗菌药物临床应用指导原则》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,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手术预防用药主要是预防手术部位的感染，不包括与手术无直接关系的、术后可能发生的其他部位感染。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抗菌药物的品种选择：主要根据手术切口类别、可能的污染菌等综合考虑，经皮肤的骨科手术，通常选择针对金黄色葡萄球菌的抗菌药物，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预防用药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推荐使用第一、二类头孢菌素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遵循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《抗菌药物临床应用指导原则》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遴选抗菌药物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，根据切口类别、可能的污染菌种类及其敏感性，选择污染菌针对性强、窄谱的抗菌药物。</w:t>
      </w:r>
    </w:p>
    <w:p w14:paraId="09AC6553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4、用法用量不适宜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此次点评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用法用量不适宜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有1例，占不合理总病例数的4.0%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详情见下表。</w:t>
      </w:r>
    </w:p>
    <w:p w14:paraId="6ED02C91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用法用量不适宜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的病例</w:t>
      </w:r>
    </w:p>
    <w:tbl>
      <w:tblPr>
        <w:tblStyle w:val="6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35"/>
        <w:gridCol w:w="985"/>
        <w:gridCol w:w="3888"/>
        <w:gridCol w:w="2577"/>
      </w:tblGrid>
      <w:tr w14:paraId="4578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79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AB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病案号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B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科别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70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全部手术名称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991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用法用量</w:t>
            </w:r>
          </w:p>
        </w:tc>
      </w:tr>
      <w:tr w14:paraId="34E8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94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36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438085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60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疼痛科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96E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zh-CN"/>
              </w:rPr>
              <w:t>椎间盘镜下后入路胸椎间盘切除术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7C2E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注射用头孢呋辛1.5g静滴qd</w:t>
            </w:r>
          </w:p>
        </w:tc>
      </w:tr>
    </w:tbl>
    <w:p w14:paraId="07F44F27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问题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头孢呋辛为时间依赖性抗菌药物，需一天多次给药，药品说明书推荐：大多数感染给药剂量为0.75g q8h，严重感染推荐1.5g q8h。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/>
          <w:color w:val="auto"/>
          <w:sz w:val="24"/>
          <w:szCs w:val="24"/>
        </w:rPr>
        <w:t>遵照药品说明书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 w:hAnsi="宋体"/>
          <w:color w:val="auto"/>
          <w:sz w:val="24"/>
          <w:szCs w:val="24"/>
        </w:rPr>
        <w:t>药品特性给药，提高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患者</w:t>
      </w:r>
      <w:r>
        <w:rPr>
          <w:rFonts w:hint="eastAsia" w:ascii="宋体" w:hAnsi="宋体"/>
          <w:color w:val="auto"/>
          <w:sz w:val="24"/>
          <w:szCs w:val="24"/>
        </w:rPr>
        <w:t>的用药安全性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和有效性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 w14:paraId="54F92D5A">
      <w:pPr>
        <w:pStyle w:val="9"/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5、联合用药不适宜：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此次点评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联合用药不适宜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有4例，占不合理总病例数的16.0%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详情见下表。</w:t>
      </w:r>
    </w:p>
    <w:p w14:paraId="76BDD578"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联合用药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不适宜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的病例</w:t>
      </w:r>
    </w:p>
    <w:tbl>
      <w:tblPr>
        <w:tblStyle w:val="6"/>
        <w:tblpPr w:leftFromText="180" w:rightFromText="180" w:vertAnchor="text" w:horzAnchor="page" w:tblpXSpec="center" w:tblpY="103"/>
        <w:tblOverlap w:val="never"/>
        <w:tblW w:w="104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35"/>
        <w:gridCol w:w="1035"/>
        <w:gridCol w:w="2487"/>
        <w:gridCol w:w="5100"/>
      </w:tblGrid>
      <w:tr w14:paraId="7FD0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C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C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病案号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31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科别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04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手术名称</w:t>
            </w:r>
          </w:p>
        </w:tc>
        <w:tc>
          <w:tcPr>
            <w:tcW w:w="5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3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用药情况</w:t>
            </w:r>
          </w:p>
        </w:tc>
      </w:tr>
      <w:tr w14:paraId="6ACC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F4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D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438137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B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BC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胸椎病损切除术</w:t>
            </w:r>
          </w:p>
        </w:tc>
        <w:tc>
          <w:tcPr>
            <w:tcW w:w="5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D0E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注射用头孢呋辛1.5g bid（11.10-11.25）左氧氟沙星注射液0.5g qd（11.4-12.1）</w:t>
            </w:r>
          </w:p>
        </w:tc>
      </w:tr>
      <w:tr w14:paraId="63B9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C5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0A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439114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EC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63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zh-CN"/>
              </w:rPr>
              <w:t>皮肤和皮下组织血肿抽吸术</w:t>
            </w:r>
          </w:p>
        </w:tc>
        <w:tc>
          <w:tcPr>
            <w:tcW w:w="5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37A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注射用头孢呋辛1.5g q12h（11.30-12.1，12.5-12.14）左氧氟沙星注射液0.5g qd（12.1-12.10）</w:t>
            </w:r>
          </w:p>
        </w:tc>
      </w:tr>
      <w:tr w14:paraId="5540A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977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8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439857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F3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骨一科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D6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人工股骨头置换术</w:t>
            </w:r>
          </w:p>
        </w:tc>
        <w:tc>
          <w:tcPr>
            <w:tcW w:w="5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EC97C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注射用头孢哌酮钠舒巴坦钠3g 静滴 bid（1.6-1.7）</w:t>
            </w:r>
          </w:p>
          <w:p w14:paraId="5559C2F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注射用头孢呋辛1.5g静滴bid（1.8-1.21）</w:t>
            </w:r>
          </w:p>
          <w:p w14:paraId="152901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3.左氧氟沙星氯化钠注射液0.5g静滴qd（1.13-1.21）</w:t>
            </w:r>
          </w:p>
        </w:tc>
      </w:tr>
      <w:tr w14:paraId="77E3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2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0A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415615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1A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外四科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65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zh-CN"/>
              </w:rPr>
              <w:t>后入路腰椎间盘切除术</w:t>
            </w:r>
          </w:p>
        </w:tc>
        <w:tc>
          <w:tcPr>
            <w:tcW w:w="5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5F2D9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左氧氟沙星氯化钠注射液0.5g 静滴 qd（1.12-1.28）</w:t>
            </w:r>
          </w:p>
          <w:p w14:paraId="67AE52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2.注射用头孢呋辛钠1.5g静滴 q12h（1.18-1.25）</w:t>
            </w:r>
          </w:p>
        </w:tc>
      </w:tr>
    </w:tbl>
    <w:p w14:paraId="6D35F348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只有单一药物不能有效控制的感染，需氧菌及厌氧菌的混合感染，2种及以上复数菌的感染时，方可联合用药，联合使用抗菌药物时应考虑两种药物的抗菌谱是否重合。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建议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充分评估可能感染的病原体，根据药物抗菌谱选药，避免不必要的联用，降低抗菌药物使用强度。</w:t>
      </w:r>
    </w:p>
    <w:p w14:paraId="1BC7D548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特殊使用级抗菌药物医嘱评价</w:t>
      </w:r>
    </w:p>
    <w:p w14:paraId="65947235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（一）抽样方法：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2025年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月我院出院患者中使用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特殊使用级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抗菌药物病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80例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，抽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查病例23例，不合理例数11例。</w:t>
      </w:r>
    </w:p>
    <w:p w14:paraId="14529A38">
      <w:pPr>
        <w:spacing w:line="360" w:lineRule="auto"/>
        <w:ind w:firstLine="480"/>
        <w:rPr>
          <w:rFonts w:hint="eastAsia" w:ascii="宋体" w:hAnsi="宋体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（二）评价依据：</w:t>
      </w:r>
      <w:r>
        <w:rPr>
          <w:rFonts w:hint="eastAsia" w:ascii="宋体" w:hAnsi="宋体"/>
          <w:bCs/>
          <w:color w:val="auto"/>
          <w:kern w:val="0"/>
          <w:sz w:val="24"/>
          <w:szCs w:val="24"/>
        </w:rPr>
        <w:t>《国家抗微生物治疗指南（第3版）》</w:t>
      </w:r>
      <w:r>
        <w:rPr>
          <w:rFonts w:hint="eastAsia" w:ascii="宋体" w:hAnsi="宋体"/>
          <w:bCs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auto"/>
          <w:kern w:val="0"/>
          <w:sz w:val="24"/>
          <w:szCs w:val="24"/>
        </w:rPr>
        <w:t>《抗菌药物临床应用指导原则》（2015版）</w:t>
      </w:r>
      <w:r>
        <w:rPr>
          <w:rFonts w:hint="eastAsia" w:ascii="宋体" w:hAnsi="宋体"/>
          <w:bCs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《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  <w:t>碳青霉烯类抗菌药物临床应用评价细则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》（见附件）</w:t>
      </w:r>
      <w:r>
        <w:rPr>
          <w:rFonts w:ascii="宋体" w:hAnsi="宋体"/>
          <w:bCs/>
          <w:color w:val="auto"/>
          <w:kern w:val="0"/>
          <w:sz w:val="24"/>
          <w:szCs w:val="24"/>
        </w:rPr>
        <w:t>药品说明书</w:t>
      </w:r>
      <w:r>
        <w:rPr>
          <w:rFonts w:hint="eastAsia" w:ascii="宋体" w:hAnsi="宋体"/>
          <w:bCs/>
          <w:color w:val="auto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p w14:paraId="6B030DD8">
      <w:pPr>
        <w:spacing w:line="360" w:lineRule="auto"/>
        <w:ind w:firstLine="480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（三）评价结果汇总</w:t>
      </w:r>
    </w:p>
    <w:tbl>
      <w:tblPr>
        <w:tblStyle w:val="6"/>
        <w:tblpPr w:leftFromText="180" w:rightFromText="180" w:vertAnchor="text" w:horzAnchor="page" w:tblpXSpec="center" w:tblpY="145"/>
        <w:tblOverlap w:val="never"/>
        <w:tblW w:w="11124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1146"/>
        <w:gridCol w:w="810"/>
        <w:gridCol w:w="1049"/>
        <w:gridCol w:w="881"/>
        <w:gridCol w:w="3028"/>
        <w:gridCol w:w="3742"/>
      </w:tblGrid>
      <w:tr w14:paraId="2BE11DD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 w14:paraId="51FEBF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14:paraId="675593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科室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2D61902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用药例数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0FED1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抽查例数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14:paraId="7BF38C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不合理</w:t>
            </w:r>
          </w:p>
          <w:p w14:paraId="1131A9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数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21D4F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不合理用药情况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vAlign w:val="center"/>
          </w:tcPr>
          <w:p w14:paraId="4FDD71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病案号及用药情况</w:t>
            </w:r>
          </w:p>
        </w:tc>
      </w:tr>
      <w:tr w14:paraId="7FE2910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463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5A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感染科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56B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FB0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D47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D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2CD555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DE4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3D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感染二科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E90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2A5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F2C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E6EFB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C3BF9">
            <w:pPr>
              <w:jc w:val="center"/>
              <w:rPr>
                <w:rFonts w:hint="eastAsia" w:asciiTheme="minorEastAsia" w:hAnsiTheme="minorEastAsia" w:cstheme="minor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2D67E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BC9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85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中西肝病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2F3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20B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E9C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B4FC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4BB5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296FC9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A4C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E6F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肝病科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CA8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2C6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1C2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97B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37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E151B8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12D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E8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2F0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1C6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644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456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119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2695D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 w14:paraId="2180D7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14:paraId="68BA06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二科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2CD0E9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04D2B7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14:paraId="6ADBA4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20A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未根据肾功能调整用药方案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9E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428709美罗培南1g静滴q8h（12.2-12.16）</w:t>
            </w:r>
          </w:p>
        </w:tc>
      </w:tr>
      <w:tr w14:paraId="1C5D2EB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3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 w14:paraId="08F7EE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14:paraId="6FFC1E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肺三科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241CDF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6A5EFF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14:paraId="463359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446F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使用前无病原学送检</w:t>
            </w:r>
          </w:p>
          <w:p w14:paraId="16EE00F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未根据肾功能调整用药方案</w:t>
            </w:r>
          </w:p>
          <w:p w14:paraId="5481677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遴选药品不适宜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E7E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417871美罗培南0.5g q8h静滴（12.22-12.31）</w:t>
            </w:r>
          </w:p>
        </w:tc>
      </w:tr>
      <w:tr w14:paraId="5EB1FBA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vAlign w:val="center"/>
          </w:tcPr>
          <w:p w14:paraId="01AB46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14:paraId="0837A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四科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1D2C89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 w14:paraId="7E0813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14:paraId="41611B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2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F2F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01CFF9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38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6C1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呼吸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  <w:t>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D748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A32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647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E1FAF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61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82BD65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4E8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49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骨一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  <w:t>科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64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CC4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DF6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6136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用法用量不适宜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A86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438137利奈唑胺葡萄糖注射液1.2g静滴qd单次给药剂量过大</w:t>
            </w:r>
          </w:p>
        </w:tc>
      </w:tr>
      <w:tr w14:paraId="4A6D035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6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5A4D2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4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F04E6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  <w:t>外四科</w:t>
            </w:r>
          </w:p>
        </w:tc>
        <w:tc>
          <w:tcPr>
            <w:tcW w:w="81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A73E8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4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453CB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8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3499E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2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9267A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用药时程过长</w:t>
            </w:r>
          </w:p>
        </w:tc>
        <w:tc>
          <w:tcPr>
            <w:tcW w:w="37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E05D5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438897</w:t>
            </w:r>
          </w:p>
        </w:tc>
      </w:tr>
      <w:tr w14:paraId="7378D44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E04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9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Dialog" w:hAnsi="Dialog" w:eastAsia="Dialog" w:cs="Dialog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疼痛</w:t>
            </w: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科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F36C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2DD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A16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34C2EC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使用前无病原学送检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052CD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401708</w:t>
            </w:r>
          </w:p>
        </w:tc>
      </w:tr>
      <w:tr w14:paraId="325E222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FA3DA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BC320E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消化科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1990C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DE57A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EFDB6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28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 w14:paraId="6B7ED4C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 w14:paraId="0A09CCB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933D9B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52268E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1FFDC6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心血管内科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41D9B4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690FCA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21BE07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nil"/>
            </w:tcBorders>
            <w:vAlign w:val="center"/>
          </w:tcPr>
          <w:p w14:paraId="3FA2817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使用前无病原学送检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</w:tcBorders>
            <w:vAlign w:val="center"/>
          </w:tcPr>
          <w:p w14:paraId="7283CB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439234</w:t>
            </w:r>
          </w:p>
        </w:tc>
      </w:tr>
      <w:tr w14:paraId="4CA4DDE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283077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2A842D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急诊监护室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208841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65C6DE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000B4B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28" w:type="dxa"/>
            <w:tcBorders>
              <w:top w:val="single" w:color="000000" w:sz="4" w:space="0"/>
              <w:left w:val="nil"/>
            </w:tcBorders>
            <w:vAlign w:val="center"/>
          </w:tcPr>
          <w:p w14:paraId="5D70A5F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</w:tcBorders>
            <w:vAlign w:val="center"/>
          </w:tcPr>
          <w:p w14:paraId="5BBEB2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780CC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614" w:type="dxa"/>
            <w:gridSpan w:val="2"/>
            <w:tcBorders>
              <w:tl2br w:val="nil"/>
              <w:tr2bl w:val="nil"/>
            </w:tcBorders>
            <w:vAlign w:val="center"/>
          </w:tcPr>
          <w:p w14:paraId="10BC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Dialog" w:hAnsi="Dialog" w:eastAsia="Dialog" w:cs="Dialog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100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D07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BD4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655779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42" w:type="dxa"/>
            <w:tcBorders>
              <w:tl2br w:val="nil"/>
              <w:tr2bl w:val="nil"/>
            </w:tcBorders>
            <w:vAlign w:val="center"/>
          </w:tcPr>
          <w:p w14:paraId="2C0F4B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425E93B">
      <w:pPr>
        <w:spacing w:line="360" w:lineRule="auto"/>
        <w:ind w:firstLine="482" w:firstLineChars="200"/>
        <w:rPr>
          <w:rFonts w:hint="default" w:asciiTheme="minorEastAsia" w:hAnsiTheme="minor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合理用药医嘱评价</w:t>
      </w:r>
    </w:p>
    <w:p w14:paraId="3D2B417D">
      <w:pPr>
        <w:spacing w:line="360" w:lineRule="auto"/>
        <w:ind w:firstLine="482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（一）抽样方法：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2025年12月出院病例1177份，随机抽取病例共86份，抽样比例为7.3%；2026年1月出院病例1037份，随机抽取病例共393份，抽样比例为37.9%；2026年2月出院病例779份，随机抽取病例共152份，抽样比例为19.5%。</w:t>
      </w:r>
    </w:p>
    <w:p w14:paraId="23D78CEA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（二）点评依据：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《国家抗微生物治疗指南（第3版）》，《抗菌药物临床应用指导原则》（2015版），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《质子泵抑制剂临床应用指导原则》，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《北京市医疗机构处方专项点评指南》，药品说明书等。</w:t>
      </w:r>
    </w:p>
    <w:p w14:paraId="0759E4E7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评价结果</w:t>
      </w:r>
    </w:p>
    <w:tbl>
      <w:tblPr>
        <w:tblStyle w:val="7"/>
        <w:tblpPr w:leftFromText="180" w:rightFromText="180" w:vertAnchor="text" w:horzAnchor="page" w:tblpXSpec="center" w:tblpY="86"/>
        <w:tblOverlap w:val="never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950"/>
        <w:gridCol w:w="1950"/>
        <w:gridCol w:w="4811"/>
      </w:tblGrid>
      <w:tr w14:paraId="1C30D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49" w:type="dxa"/>
            <w:tcBorders>
              <w:left w:val="nil"/>
            </w:tcBorders>
            <w:noWrap w:val="0"/>
            <w:vAlign w:val="top"/>
          </w:tcPr>
          <w:p w14:paraId="29193E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抽查病例数</w:t>
            </w:r>
          </w:p>
        </w:tc>
        <w:tc>
          <w:tcPr>
            <w:tcW w:w="1950" w:type="dxa"/>
            <w:noWrap w:val="0"/>
            <w:vAlign w:val="top"/>
          </w:tcPr>
          <w:p w14:paraId="1E7E3D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不合理病例数</w:t>
            </w:r>
          </w:p>
        </w:tc>
        <w:tc>
          <w:tcPr>
            <w:tcW w:w="1950" w:type="dxa"/>
            <w:noWrap w:val="0"/>
            <w:vAlign w:val="top"/>
          </w:tcPr>
          <w:p w14:paraId="0ABA81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不合理医嘱条数</w:t>
            </w:r>
          </w:p>
        </w:tc>
        <w:tc>
          <w:tcPr>
            <w:tcW w:w="4811" w:type="dxa"/>
            <w:tcBorders>
              <w:right w:val="nil"/>
            </w:tcBorders>
            <w:noWrap w:val="0"/>
            <w:vAlign w:val="top"/>
          </w:tcPr>
          <w:p w14:paraId="700C2F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不合理用药情况</w:t>
            </w:r>
          </w:p>
        </w:tc>
      </w:tr>
      <w:tr w14:paraId="7460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49" w:type="dxa"/>
            <w:tcBorders>
              <w:left w:val="nil"/>
            </w:tcBorders>
            <w:noWrap w:val="0"/>
            <w:vAlign w:val="center"/>
          </w:tcPr>
          <w:p w14:paraId="088AFA3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631</w:t>
            </w:r>
          </w:p>
        </w:tc>
        <w:tc>
          <w:tcPr>
            <w:tcW w:w="1950" w:type="dxa"/>
            <w:noWrap w:val="0"/>
            <w:vAlign w:val="center"/>
          </w:tcPr>
          <w:p w14:paraId="1B248E6A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950" w:type="dxa"/>
            <w:noWrap w:val="0"/>
            <w:vAlign w:val="center"/>
          </w:tcPr>
          <w:p w14:paraId="37AC420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4811" w:type="dxa"/>
            <w:tcBorders>
              <w:right w:val="nil"/>
            </w:tcBorders>
            <w:noWrap w:val="0"/>
            <w:vAlign w:val="top"/>
          </w:tcPr>
          <w:p w14:paraId="21A1B34B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1.适应症不适宜 7条</w:t>
            </w:r>
          </w:p>
          <w:p w14:paraId="3620737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遴选药品不适宜 29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条</w:t>
            </w:r>
          </w:p>
          <w:p w14:paraId="712D792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3.药品剂型或给药途径不适宜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14条</w:t>
            </w:r>
          </w:p>
          <w:p w14:paraId="1127BFD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4.用法用量不适宜  9条</w:t>
            </w:r>
          </w:p>
          <w:p w14:paraId="52E731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有配伍禁忌或者不良相互作用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4条</w:t>
            </w:r>
          </w:p>
        </w:tc>
      </w:tr>
    </w:tbl>
    <w:p w14:paraId="1F4DCA02">
      <w:pPr>
        <w:numPr>
          <w:ilvl w:val="0"/>
          <w:numId w:val="6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适应症不适宜（2-1）的医嘱</w:t>
      </w:r>
    </w:p>
    <w:tbl>
      <w:tblPr>
        <w:tblStyle w:val="7"/>
        <w:tblW w:w="10560" w:type="dxa"/>
        <w:tblInd w:w="-10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65"/>
        <w:gridCol w:w="1455"/>
        <w:gridCol w:w="2430"/>
        <w:gridCol w:w="4830"/>
      </w:tblGrid>
      <w:tr w14:paraId="5362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top"/>
          </w:tcPr>
          <w:p w14:paraId="112481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noWrap w:val="0"/>
            <w:vAlign w:val="top"/>
          </w:tcPr>
          <w:p w14:paraId="3FE755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病例号</w:t>
            </w:r>
          </w:p>
        </w:tc>
        <w:tc>
          <w:tcPr>
            <w:tcW w:w="1455" w:type="dxa"/>
            <w:noWrap w:val="0"/>
            <w:vAlign w:val="top"/>
          </w:tcPr>
          <w:p w14:paraId="7A90453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2430" w:type="dxa"/>
            <w:noWrap w:val="0"/>
            <w:vAlign w:val="top"/>
          </w:tcPr>
          <w:p w14:paraId="5FD7A25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药品名称及给药途径</w:t>
            </w:r>
          </w:p>
        </w:tc>
        <w:tc>
          <w:tcPr>
            <w:tcW w:w="4830" w:type="dxa"/>
            <w:noWrap w:val="0"/>
            <w:vAlign w:val="top"/>
          </w:tcPr>
          <w:p w14:paraId="546A041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不合理情况说明</w:t>
            </w:r>
          </w:p>
        </w:tc>
      </w:tr>
      <w:tr w14:paraId="661B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80" w:type="dxa"/>
            <w:noWrap w:val="0"/>
            <w:vAlign w:val="center"/>
          </w:tcPr>
          <w:p w14:paraId="5B5C68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659E6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411248</w:t>
            </w:r>
          </w:p>
        </w:tc>
        <w:tc>
          <w:tcPr>
            <w:tcW w:w="1455" w:type="dxa"/>
            <w:noWrap w:val="0"/>
            <w:vAlign w:val="center"/>
          </w:tcPr>
          <w:p w14:paraId="24C1A7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感二科</w:t>
            </w:r>
          </w:p>
        </w:tc>
        <w:tc>
          <w:tcPr>
            <w:tcW w:w="2430" w:type="dxa"/>
            <w:noWrap w:val="0"/>
            <w:vAlign w:val="center"/>
          </w:tcPr>
          <w:p w14:paraId="12AF1D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人血白蛋白10g 静脉输血 st  </w:t>
            </w:r>
          </w:p>
        </w:tc>
        <w:tc>
          <w:tcPr>
            <w:tcW w:w="4830" w:type="dxa"/>
            <w:noWrap w:val="0"/>
            <w:vAlign w:val="center"/>
          </w:tcPr>
          <w:p w14:paraId="49950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诊断胸腔积液、肝硬化失代偿期、继发性肺结核。用药前11-25查白蛋白35.91g/L高于30.0g/L，未达到使用标准，11-30、12.1应用人血白蛋白10g静点，适应症不适宜。</w:t>
            </w:r>
          </w:p>
        </w:tc>
      </w:tr>
      <w:tr w14:paraId="00B3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80" w:type="dxa"/>
            <w:noWrap w:val="0"/>
            <w:vAlign w:val="center"/>
          </w:tcPr>
          <w:p w14:paraId="04C583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5DAEC7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423906</w:t>
            </w:r>
          </w:p>
        </w:tc>
        <w:tc>
          <w:tcPr>
            <w:tcW w:w="1455" w:type="dxa"/>
            <w:noWrap w:val="0"/>
            <w:vAlign w:val="center"/>
          </w:tcPr>
          <w:p w14:paraId="61EC8D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神内科</w:t>
            </w:r>
          </w:p>
        </w:tc>
        <w:tc>
          <w:tcPr>
            <w:tcW w:w="2430" w:type="dxa"/>
            <w:noWrap w:val="0"/>
            <w:vAlign w:val="center"/>
          </w:tcPr>
          <w:p w14:paraId="311AB9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人血白蛋白10g 静脉输血 st </w:t>
            </w:r>
          </w:p>
        </w:tc>
        <w:tc>
          <w:tcPr>
            <w:tcW w:w="4830" w:type="dxa"/>
            <w:noWrap w:val="0"/>
            <w:vAlign w:val="center"/>
          </w:tcPr>
          <w:p w14:paraId="7A839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用药前12-11查白蛋白30.2g/L高于30.0g/L，未达到使用标准，12-13起应用人血白蛋白10g静点，适应症不适宜。</w:t>
            </w:r>
          </w:p>
        </w:tc>
      </w:tr>
      <w:tr w14:paraId="7481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3B46E8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B9F00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437130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C502C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肝病科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6D52F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人血白蛋白10g 静脉输血 st  </w:t>
            </w:r>
          </w:p>
        </w:tc>
        <w:tc>
          <w:tcPr>
            <w:tcW w:w="4830" w:type="dxa"/>
            <w:shd w:val="clear" w:color="auto" w:fill="auto"/>
            <w:noWrap w:val="0"/>
            <w:vAlign w:val="center"/>
          </w:tcPr>
          <w:p w14:paraId="433393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诊断乙型肝炎后肝硬化失代偿期、脾功能亢进。用药前12-27查白蛋白31.18g/L高于30.0g/L，未达到使用标准，12.28、12.30、1.5、1.7应用人血白蛋白10g静点，适应症不适宜。</w:t>
            </w:r>
          </w:p>
        </w:tc>
      </w:tr>
      <w:tr w14:paraId="0BC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80" w:type="dxa"/>
            <w:noWrap w:val="0"/>
            <w:vAlign w:val="center"/>
          </w:tcPr>
          <w:p w14:paraId="41F161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96C89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6837D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消化科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7858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人血白蛋白10g 静点</w:t>
            </w:r>
          </w:p>
        </w:tc>
        <w:tc>
          <w:tcPr>
            <w:tcW w:w="4830" w:type="dxa"/>
            <w:shd w:val="clear" w:color="auto" w:fill="auto"/>
            <w:noWrap w:val="0"/>
            <w:vAlign w:val="center"/>
          </w:tcPr>
          <w:p w14:paraId="393D5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诊断肝硬化失代偿期 食管胃底静脉曲张 脾功能亢进 低蛋白血症。用药前12-26查白蛋白38.04g/L，高于30.0g/L，未达到使用标准。1.1-2.3应用人血白蛋白10g qd静点，不符合药品说明书的治疗标准，适应症不适宜。</w:t>
            </w:r>
          </w:p>
        </w:tc>
      </w:tr>
    </w:tbl>
    <w:p w14:paraId="30D0692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2、遴选的药品不适宜（2-2）的医嘱</w:t>
      </w:r>
    </w:p>
    <w:tbl>
      <w:tblPr>
        <w:tblStyle w:val="7"/>
        <w:tblW w:w="10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05"/>
        <w:gridCol w:w="1466"/>
        <w:gridCol w:w="2520"/>
        <w:gridCol w:w="4717"/>
      </w:tblGrid>
      <w:tr w14:paraId="584A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 w14:paraId="753C05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noWrap w:val="0"/>
            <w:vAlign w:val="top"/>
          </w:tcPr>
          <w:p w14:paraId="06114D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病例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466" w:type="dxa"/>
            <w:noWrap w:val="0"/>
            <w:vAlign w:val="top"/>
          </w:tcPr>
          <w:p w14:paraId="0B3B52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2520" w:type="dxa"/>
            <w:noWrap w:val="0"/>
            <w:vAlign w:val="top"/>
          </w:tcPr>
          <w:p w14:paraId="3A2B0A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药品名称及给药途径</w:t>
            </w:r>
          </w:p>
        </w:tc>
        <w:tc>
          <w:tcPr>
            <w:tcW w:w="4717" w:type="dxa"/>
            <w:noWrap w:val="0"/>
            <w:vAlign w:val="top"/>
          </w:tcPr>
          <w:p w14:paraId="104853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不合理情况说明</w:t>
            </w:r>
          </w:p>
        </w:tc>
      </w:tr>
      <w:tr w14:paraId="7A67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25" w:type="dxa"/>
            <w:noWrap w:val="0"/>
            <w:vAlign w:val="center"/>
          </w:tcPr>
          <w:p w14:paraId="5F3B44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31D28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429685</w:t>
            </w:r>
          </w:p>
        </w:tc>
        <w:tc>
          <w:tcPr>
            <w:tcW w:w="1466" w:type="dxa"/>
            <w:noWrap w:val="0"/>
            <w:vAlign w:val="center"/>
          </w:tcPr>
          <w:p w14:paraId="513D0B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感染科</w:t>
            </w:r>
          </w:p>
        </w:tc>
        <w:tc>
          <w:tcPr>
            <w:tcW w:w="2520" w:type="dxa"/>
            <w:noWrap w:val="0"/>
            <w:vAlign w:val="center"/>
          </w:tcPr>
          <w:p w14:paraId="3C22E5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环磷腺苷注射液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0mg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+0.9%氯化钠注射液200ml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静滴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st</w:t>
            </w:r>
          </w:p>
        </w:tc>
        <w:tc>
          <w:tcPr>
            <w:tcW w:w="4717" w:type="dxa"/>
            <w:vMerge w:val="restart"/>
            <w:noWrap w:val="0"/>
            <w:vAlign w:val="center"/>
          </w:tcPr>
          <w:p w14:paraId="67C49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根据药品说明书，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静脉滴注：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环磷腺苷注射液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溶于250～500ml 5%葡萄糖注射液中，一日1次。建议优先选用说明书推荐的5%葡萄糖注射液，以确保药物稳定性和安全性；特殊情况确需使用0.9%氯化钠注射液的，需谨慎评估后选择。</w:t>
            </w:r>
          </w:p>
        </w:tc>
      </w:tr>
      <w:tr w14:paraId="632A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noWrap w:val="0"/>
            <w:vAlign w:val="center"/>
          </w:tcPr>
          <w:p w14:paraId="5BEB97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4C883C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435129</w:t>
            </w:r>
          </w:p>
        </w:tc>
        <w:tc>
          <w:tcPr>
            <w:tcW w:w="1466" w:type="dxa"/>
            <w:noWrap w:val="0"/>
            <w:vAlign w:val="center"/>
          </w:tcPr>
          <w:p w14:paraId="767080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感二科</w:t>
            </w:r>
          </w:p>
        </w:tc>
        <w:tc>
          <w:tcPr>
            <w:tcW w:w="2520" w:type="dxa"/>
            <w:noWrap w:val="0"/>
            <w:vAlign w:val="center"/>
          </w:tcPr>
          <w:p w14:paraId="737F98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环磷腺苷注射液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0mg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+0.9%氯化钠注射液250ml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静滴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qd</w:t>
            </w:r>
          </w:p>
        </w:tc>
        <w:tc>
          <w:tcPr>
            <w:tcW w:w="4717" w:type="dxa"/>
            <w:vMerge w:val="continue"/>
            <w:noWrap w:val="0"/>
            <w:vAlign w:val="center"/>
          </w:tcPr>
          <w:p w14:paraId="763A4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A3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25" w:type="dxa"/>
            <w:noWrap w:val="0"/>
            <w:vAlign w:val="center"/>
          </w:tcPr>
          <w:p w14:paraId="27B2118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4F001F9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438253</w:t>
            </w:r>
          </w:p>
        </w:tc>
        <w:tc>
          <w:tcPr>
            <w:tcW w:w="1466" w:type="dxa"/>
            <w:noWrap w:val="0"/>
            <w:vAlign w:val="center"/>
          </w:tcPr>
          <w:p w14:paraId="1481A3F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外一科</w:t>
            </w:r>
          </w:p>
        </w:tc>
        <w:tc>
          <w:tcPr>
            <w:tcW w:w="2520" w:type="dxa"/>
            <w:noWrap w:val="0"/>
            <w:vAlign w:val="center"/>
          </w:tcPr>
          <w:p w14:paraId="5841B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注射用赖氨匹林0.9g静滴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st</w:t>
            </w:r>
          </w:p>
        </w:tc>
        <w:tc>
          <w:tcPr>
            <w:tcW w:w="4717" w:type="dxa"/>
            <w:noWrap w:val="0"/>
            <w:vAlign w:val="center"/>
          </w:tcPr>
          <w:p w14:paraId="429CD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该患者入院诊断消化道出血，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zh-CN"/>
              </w:rPr>
              <w:t>血小板46×10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superscript"/>
                <w:lang w:val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zh-CN"/>
              </w:rPr>
              <w:t>/L，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根据药品说明书，赖氨匹林禁用于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活动性消化性溃疡或其他原因引起的消化道出血、血友病或血小板减少症，因此，该医嘱遴选药品不适宜。</w:t>
            </w:r>
          </w:p>
        </w:tc>
      </w:tr>
      <w:tr w14:paraId="3F8D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25" w:type="dxa"/>
            <w:noWrap w:val="0"/>
            <w:vAlign w:val="center"/>
          </w:tcPr>
          <w:p w14:paraId="5CB5CAC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05" w:type="dxa"/>
            <w:noWrap w:val="0"/>
            <w:vAlign w:val="center"/>
          </w:tcPr>
          <w:p w14:paraId="35C75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420773</w:t>
            </w:r>
          </w:p>
        </w:tc>
        <w:tc>
          <w:tcPr>
            <w:tcW w:w="1466" w:type="dxa"/>
            <w:noWrap w:val="0"/>
            <w:vAlign w:val="center"/>
          </w:tcPr>
          <w:p w14:paraId="584A60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康复医学科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2D15D9F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注射用氯诺昔康8mg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0.9%氯化钠注射液100ml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静滴qd</w:t>
            </w:r>
          </w:p>
        </w:tc>
        <w:tc>
          <w:tcPr>
            <w:tcW w:w="4717" w:type="dxa"/>
            <w:vMerge w:val="restart"/>
            <w:noWrap w:val="0"/>
            <w:vAlign w:val="center"/>
          </w:tcPr>
          <w:p w14:paraId="4C06A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注射用氯诺昔康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药品说明书，用法为：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肌肉(＞5秒)或静脉（＞15秒）注射，在注射前须将本品用2ml注射用水溶解，静脉注射时须再用不少于2ml的0.9%氯化钠注射液稀释。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该医嘱静脉滴注给药属给药途径不适宜，未用注射用水溶解属用法不适宜。</w:t>
            </w:r>
          </w:p>
        </w:tc>
      </w:tr>
      <w:tr w14:paraId="34AA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25" w:type="dxa"/>
            <w:noWrap w:val="0"/>
            <w:vAlign w:val="center"/>
          </w:tcPr>
          <w:p w14:paraId="3E51AE4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 w14:paraId="116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439059</w:t>
            </w:r>
          </w:p>
        </w:tc>
        <w:tc>
          <w:tcPr>
            <w:tcW w:w="1466" w:type="dxa"/>
            <w:noWrap w:val="0"/>
            <w:vAlign w:val="center"/>
          </w:tcPr>
          <w:p w14:paraId="5BFE9A5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康复医学科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 w14:paraId="54D5B98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7" w:type="dxa"/>
            <w:vMerge w:val="continue"/>
            <w:noWrap w:val="0"/>
            <w:vAlign w:val="center"/>
          </w:tcPr>
          <w:p w14:paraId="606BE3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03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825" w:type="dxa"/>
            <w:noWrap w:val="0"/>
            <w:vAlign w:val="center"/>
          </w:tcPr>
          <w:p w14:paraId="1B642BA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05" w:type="dxa"/>
            <w:noWrap w:val="0"/>
            <w:vAlign w:val="center"/>
          </w:tcPr>
          <w:p w14:paraId="335A571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437880</w:t>
            </w:r>
          </w:p>
        </w:tc>
        <w:tc>
          <w:tcPr>
            <w:tcW w:w="1466" w:type="dxa"/>
            <w:noWrap w:val="0"/>
            <w:vAlign w:val="center"/>
          </w:tcPr>
          <w:p w14:paraId="1B253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肺四科</w:t>
            </w:r>
          </w:p>
        </w:tc>
        <w:tc>
          <w:tcPr>
            <w:tcW w:w="2520" w:type="dxa"/>
            <w:noWrap w:val="0"/>
            <w:vAlign w:val="center"/>
          </w:tcPr>
          <w:p w14:paraId="7131D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注射用对氨基水杨酸钠8g+5%葡萄糖注射液250ml静滴qd</w:t>
            </w:r>
          </w:p>
        </w:tc>
        <w:tc>
          <w:tcPr>
            <w:tcW w:w="4717" w:type="dxa"/>
            <w:noWrap w:val="0"/>
            <w:vAlign w:val="center"/>
          </w:tcPr>
          <w:p w14:paraId="6ED1A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对氨基水杨酸钠在中性条件下更易溶解，依据药品说明书，静脉滴注一日4～12g，临用前加灭菌注射用水适量使溶解后再用5%葡萄糖注射液稀释，2～3小时滴完。因此该医嘱溶媒选择不适宜。</w:t>
            </w:r>
          </w:p>
        </w:tc>
      </w:tr>
      <w:tr w14:paraId="3CE4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825" w:type="dxa"/>
            <w:noWrap w:val="0"/>
            <w:vAlign w:val="center"/>
          </w:tcPr>
          <w:p w14:paraId="6DBFB4C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F4936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439684</w:t>
            </w:r>
          </w:p>
        </w:tc>
        <w:tc>
          <w:tcPr>
            <w:tcW w:w="1466" w:type="dxa"/>
            <w:shd w:val="clear" w:color="auto" w:fill="auto"/>
            <w:noWrap w:val="0"/>
            <w:vAlign w:val="center"/>
          </w:tcPr>
          <w:p w14:paraId="542E22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肺三科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0A72E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复方氨基酸注射液(3AA)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250ml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静滴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st  </w:t>
            </w:r>
          </w:p>
        </w:tc>
        <w:tc>
          <w:tcPr>
            <w:tcW w:w="4717" w:type="dxa"/>
            <w:shd w:val="clear" w:color="auto" w:fill="auto"/>
            <w:noWrap w:val="0"/>
            <w:vAlign w:val="center"/>
          </w:tcPr>
          <w:p w14:paraId="3AA28B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依据药品说明书：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复方氨基酸注射液(3AA)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适用于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各种原因引起的肝性脑病、重症肝炎以及肝硬化、慢性活动性肝炎。亦可用于肝胆外科手术前后。该患者诊断为急性胆囊炎，未手术，既往无肝病史，因此该医嘱遴选药品不适宜。</w:t>
            </w:r>
          </w:p>
        </w:tc>
      </w:tr>
      <w:tr w14:paraId="3E6D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noWrap w:val="0"/>
            <w:vAlign w:val="center"/>
          </w:tcPr>
          <w:p w14:paraId="347E201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E27A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435361</w:t>
            </w:r>
          </w:p>
        </w:tc>
        <w:tc>
          <w:tcPr>
            <w:tcW w:w="1466" w:type="dxa"/>
            <w:shd w:val="clear" w:color="auto" w:fill="auto"/>
            <w:noWrap w:val="0"/>
            <w:vAlign w:val="center"/>
          </w:tcPr>
          <w:p w14:paraId="629DF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外一科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5EE05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香丹注射液20ml+0.9%氯化钠注射液250ml静滴qd</w:t>
            </w:r>
          </w:p>
        </w:tc>
        <w:tc>
          <w:tcPr>
            <w:tcW w:w="4717" w:type="dxa"/>
            <w:shd w:val="clear" w:color="auto" w:fill="auto"/>
            <w:noWrap w:val="0"/>
            <w:vAlign w:val="center"/>
          </w:tcPr>
          <w:p w14:paraId="4A6263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香丹注射液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属中成药，含有多种成分，应严格按照说明书推荐用法用量使用。说明书规定用法用量：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肌内注射，一次2ml，一日1～2次。静脉滴注，一次10～20ml，用5～10%葡萄糖注射液250～500ml稀释后使用。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建议选用说明书推荐的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5～10%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葡萄糖注射液，以确保药物稳定性和安全性。</w:t>
            </w:r>
          </w:p>
        </w:tc>
      </w:tr>
      <w:tr w14:paraId="4D33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61B7B1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3FE1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417074</w:t>
            </w:r>
          </w:p>
        </w:tc>
        <w:tc>
          <w:tcPr>
            <w:tcW w:w="1466" w:type="dxa"/>
            <w:shd w:val="clear" w:color="auto" w:fill="auto"/>
            <w:noWrap w:val="0"/>
            <w:vAlign w:val="center"/>
          </w:tcPr>
          <w:p w14:paraId="553B1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肿瘤科</w:t>
            </w:r>
          </w:p>
        </w:tc>
        <w:tc>
          <w:tcPr>
            <w:tcW w:w="2520" w:type="dxa"/>
            <w:vMerge w:val="restart"/>
            <w:shd w:val="clear" w:color="auto" w:fill="auto"/>
            <w:noWrap w:val="0"/>
            <w:vAlign w:val="center"/>
          </w:tcPr>
          <w:p w14:paraId="657C1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注射用硫普罗宁0.2g+5%葡萄糖注射液250mL静滴qd</w:t>
            </w:r>
          </w:p>
        </w:tc>
        <w:tc>
          <w:tcPr>
            <w:tcW w:w="4717" w:type="dxa"/>
            <w:vMerge w:val="restart"/>
            <w:noWrap w:val="0"/>
            <w:vAlign w:val="center"/>
          </w:tcPr>
          <w:p w14:paraId="2EA4B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射用硫普罗宁显酸性，药品说明书配置方法为：临用前每0.1g注射用硫普罗宁先用5%的碳酸氢钠注射液（pH=8.5）2ml溶解，再扩溶至5%～10%的葡萄糖溶液或0.9%氯化钠注射液250～500ml中，按常规静脉滴注。因此该医嘱溶媒选择不适宜。</w:t>
            </w:r>
          </w:p>
        </w:tc>
      </w:tr>
      <w:tr w14:paraId="5B22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796C16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94448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439905</w:t>
            </w:r>
          </w:p>
        </w:tc>
        <w:tc>
          <w:tcPr>
            <w:tcW w:w="1466" w:type="dxa"/>
            <w:shd w:val="clear" w:color="auto" w:fill="auto"/>
            <w:noWrap w:val="0"/>
            <w:vAlign w:val="center"/>
          </w:tcPr>
          <w:p w14:paraId="67E8E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消化科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 w14:paraId="36516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17" w:type="dxa"/>
            <w:vMerge w:val="continue"/>
            <w:noWrap w:val="0"/>
            <w:vAlign w:val="center"/>
          </w:tcPr>
          <w:p w14:paraId="5E5A4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1C4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5EDCD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3BA0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440167</w:t>
            </w:r>
          </w:p>
        </w:tc>
        <w:tc>
          <w:tcPr>
            <w:tcW w:w="1466" w:type="dxa"/>
            <w:shd w:val="clear" w:color="auto" w:fill="auto"/>
            <w:noWrap w:val="0"/>
            <w:vAlign w:val="center"/>
          </w:tcPr>
          <w:p w14:paraId="463433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心内科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40DF1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注射用硫普罗宁0.2g+0.9%氯化钠注射液250ml 静滴qd</w:t>
            </w:r>
          </w:p>
        </w:tc>
        <w:tc>
          <w:tcPr>
            <w:tcW w:w="4717" w:type="dxa"/>
            <w:vMerge w:val="continue"/>
            <w:noWrap w:val="0"/>
            <w:vAlign w:val="center"/>
          </w:tcPr>
          <w:p w14:paraId="29B79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C9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314707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4480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439538</w:t>
            </w:r>
          </w:p>
        </w:tc>
        <w:tc>
          <w:tcPr>
            <w:tcW w:w="1466" w:type="dxa"/>
            <w:shd w:val="clear" w:color="auto" w:fill="auto"/>
            <w:noWrap w:val="0"/>
            <w:vAlign w:val="center"/>
          </w:tcPr>
          <w:p w14:paraId="1D654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肺三科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E811E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多烯磷脂酰胆碱注射液20mL+0.9%氯化钠注射液200ml静滴qd</w:t>
            </w:r>
          </w:p>
        </w:tc>
        <w:tc>
          <w:tcPr>
            <w:tcW w:w="4717" w:type="dxa"/>
            <w:shd w:val="clear" w:color="auto" w:fill="auto"/>
            <w:noWrap w:val="0"/>
            <w:vAlign w:val="center"/>
          </w:tcPr>
          <w:p w14:paraId="18D94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根据药品说明书，静脉滴注：严禁用电解质溶液（生理氯化钠溶液，林格液等）稀释。若要配置静脉输液，只可用不含电解质的葡萄糖溶液稀释（如：5％、10％葡萄糖溶液；5％木糖醇溶液）！</w:t>
            </w:r>
          </w:p>
        </w:tc>
      </w:tr>
      <w:tr w14:paraId="73B4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 w14:paraId="415A53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0FA7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440505</w:t>
            </w:r>
          </w:p>
        </w:tc>
        <w:tc>
          <w:tcPr>
            <w:tcW w:w="1466" w:type="dxa"/>
            <w:shd w:val="clear" w:color="auto" w:fill="auto"/>
            <w:noWrap w:val="0"/>
            <w:vAlign w:val="center"/>
          </w:tcPr>
          <w:p w14:paraId="00536E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肝病科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07FB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注射用促肝细胞生长素80mg+5%葡萄糖注射液250mL静滴qd</w:t>
            </w:r>
          </w:p>
        </w:tc>
        <w:tc>
          <w:tcPr>
            <w:tcW w:w="4717" w:type="dxa"/>
            <w:shd w:val="clear" w:color="auto" w:fill="auto"/>
            <w:noWrap w:val="0"/>
            <w:vAlign w:val="center"/>
          </w:tcPr>
          <w:p w14:paraId="14C84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根据药品说明书，静脉注射：本品80～100mg(4-5支)加入10%葡萄糖液250ml缓慢静脉点滴，每日1次。使用10%葡萄糖液配置，可在输注过程中为肝细胞提供额外能量，促进肝细胞的代谢活动，增强药物对肝细胞修复和再生的效果。因此该医嘱溶媒选择不适宜。</w:t>
            </w:r>
          </w:p>
        </w:tc>
      </w:tr>
    </w:tbl>
    <w:p w14:paraId="2DB519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3、药品剂型或给药途径不适宜（2-3）的医嘱</w:t>
      </w:r>
    </w:p>
    <w:tbl>
      <w:tblPr>
        <w:tblStyle w:val="7"/>
        <w:tblW w:w="10575" w:type="dxa"/>
        <w:tblInd w:w="-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05"/>
        <w:gridCol w:w="1440"/>
        <w:gridCol w:w="2445"/>
        <w:gridCol w:w="4830"/>
      </w:tblGrid>
      <w:tr w14:paraId="6E6D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top"/>
          </w:tcPr>
          <w:p w14:paraId="0C8B51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noWrap w:val="0"/>
            <w:vAlign w:val="top"/>
          </w:tcPr>
          <w:p w14:paraId="309297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病例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440" w:type="dxa"/>
            <w:noWrap w:val="0"/>
            <w:vAlign w:val="top"/>
          </w:tcPr>
          <w:p w14:paraId="768D71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2445" w:type="dxa"/>
            <w:noWrap w:val="0"/>
            <w:vAlign w:val="center"/>
          </w:tcPr>
          <w:p w14:paraId="0E9042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药品名称及给药途径</w:t>
            </w:r>
          </w:p>
        </w:tc>
        <w:tc>
          <w:tcPr>
            <w:tcW w:w="4830" w:type="dxa"/>
            <w:noWrap w:val="0"/>
            <w:vAlign w:val="top"/>
          </w:tcPr>
          <w:p w14:paraId="0F4339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不合理情况说明</w:t>
            </w:r>
          </w:p>
        </w:tc>
      </w:tr>
      <w:tr w14:paraId="3A95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5" w:type="dxa"/>
            <w:noWrap w:val="0"/>
            <w:vAlign w:val="center"/>
          </w:tcPr>
          <w:p w14:paraId="7106F49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4A82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439059</w:t>
            </w:r>
          </w:p>
        </w:tc>
        <w:tc>
          <w:tcPr>
            <w:tcW w:w="1440" w:type="dxa"/>
            <w:noWrap w:val="0"/>
            <w:vAlign w:val="center"/>
          </w:tcPr>
          <w:p w14:paraId="7C3FA88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康复医学科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 w14:paraId="104AD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甲钴胺注射液0.5mg静脉滴注qd</w:t>
            </w:r>
          </w:p>
        </w:tc>
        <w:tc>
          <w:tcPr>
            <w:tcW w:w="4830" w:type="dxa"/>
            <w:vMerge w:val="restart"/>
            <w:noWrap w:val="0"/>
            <w:vAlign w:val="center"/>
          </w:tcPr>
          <w:p w14:paraId="0AE46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甲钴胺见光易分解，开封后需立即使用，根据甲钴胺注射液说明书，用法为肌内注射或静脉注射，一日1次，一周3次，因此，该医嘱给药途径不适宜。</w:t>
            </w:r>
          </w:p>
        </w:tc>
      </w:tr>
      <w:tr w14:paraId="3724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5" w:type="dxa"/>
            <w:noWrap w:val="0"/>
            <w:vAlign w:val="center"/>
          </w:tcPr>
          <w:p w14:paraId="1B9B1A8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0D527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400304</w:t>
            </w:r>
          </w:p>
        </w:tc>
        <w:tc>
          <w:tcPr>
            <w:tcW w:w="1440" w:type="dxa"/>
            <w:noWrap w:val="0"/>
            <w:vAlign w:val="center"/>
          </w:tcPr>
          <w:p w14:paraId="7340A76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疼痛科</w:t>
            </w:r>
          </w:p>
        </w:tc>
        <w:tc>
          <w:tcPr>
            <w:tcW w:w="2445" w:type="dxa"/>
            <w:vMerge w:val="continue"/>
            <w:noWrap w:val="0"/>
            <w:vAlign w:val="center"/>
          </w:tcPr>
          <w:p w14:paraId="41FB8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30" w:type="dxa"/>
            <w:vMerge w:val="continue"/>
            <w:noWrap w:val="0"/>
            <w:vAlign w:val="center"/>
          </w:tcPr>
          <w:p w14:paraId="4F118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E0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5" w:type="dxa"/>
            <w:noWrap w:val="0"/>
            <w:vAlign w:val="center"/>
          </w:tcPr>
          <w:p w14:paraId="4FFB9C7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6B144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435825</w:t>
            </w:r>
          </w:p>
        </w:tc>
        <w:tc>
          <w:tcPr>
            <w:tcW w:w="1440" w:type="dxa"/>
            <w:noWrap w:val="0"/>
            <w:vAlign w:val="center"/>
          </w:tcPr>
          <w:p w14:paraId="3838B2F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肺二科</w:t>
            </w:r>
          </w:p>
        </w:tc>
        <w:tc>
          <w:tcPr>
            <w:tcW w:w="2445" w:type="dxa"/>
            <w:vMerge w:val="continue"/>
            <w:noWrap w:val="0"/>
            <w:vAlign w:val="center"/>
          </w:tcPr>
          <w:p w14:paraId="64F6D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30" w:type="dxa"/>
            <w:vMerge w:val="continue"/>
            <w:noWrap w:val="0"/>
            <w:vAlign w:val="center"/>
          </w:tcPr>
          <w:p w14:paraId="2891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A3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noWrap w:val="0"/>
            <w:vAlign w:val="center"/>
          </w:tcPr>
          <w:p w14:paraId="3E2A500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3923F1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  <w:p w14:paraId="731D0A2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E192B6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418633</w:t>
            </w:r>
          </w:p>
        </w:tc>
        <w:tc>
          <w:tcPr>
            <w:tcW w:w="1440" w:type="dxa"/>
            <w:noWrap w:val="0"/>
            <w:vAlign w:val="center"/>
          </w:tcPr>
          <w:p w14:paraId="7CE3798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感染科</w:t>
            </w:r>
          </w:p>
        </w:tc>
        <w:tc>
          <w:tcPr>
            <w:tcW w:w="2445" w:type="dxa"/>
            <w:noWrap w:val="0"/>
            <w:vAlign w:val="center"/>
          </w:tcPr>
          <w:p w14:paraId="39B00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盐酸文拉法辛缓释胶囊75mg 鼻饲与餐同服 qd</w:t>
            </w:r>
          </w:p>
        </w:tc>
        <w:tc>
          <w:tcPr>
            <w:tcW w:w="4830" w:type="dxa"/>
            <w:noWrap w:val="0"/>
            <w:vAlign w:val="center"/>
          </w:tcPr>
          <w:p w14:paraId="15550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该药品为缓释制剂，根据药品说明书，本品应该整体服下避免分开、压碎、咀嚼或溶解后服用。因此，该医嘱给药途径不适宜。</w:t>
            </w:r>
          </w:p>
        </w:tc>
      </w:tr>
      <w:tr w14:paraId="4A7C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noWrap w:val="0"/>
            <w:vAlign w:val="center"/>
          </w:tcPr>
          <w:p w14:paraId="4A24191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50AC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440228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F822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心内科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 w14:paraId="1B28A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地西泮注射液5mg肌肉注射st</w:t>
            </w:r>
          </w:p>
        </w:tc>
        <w:tc>
          <w:tcPr>
            <w:tcW w:w="4830" w:type="dxa"/>
            <w:shd w:val="clear" w:color="auto" w:fill="auto"/>
            <w:noWrap w:val="0"/>
            <w:vAlign w:val="center"/>
          </w:tcPr>
          <w:p w14:paraId="242079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大部分地西泮注射液中含有苯甲醇，有刺激作用，肌肉注射吸收慢而不规则，亦不完全，建议应避免肌肉注射，应严格按照说明书选择静脉注射给药。特殊情况下需要静脉滴注给药时，推荐使用0.9%氯化钠注射液进行至少25倍稀释后进行静脉滴注。</w:t>
            </w:r>
          </w:p>
        </w:tc>
      </w:tr>
      <w:tr w14:paraId="525C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noWrap w:val="0"/>
            <w:vAlign w:val="center"/>
          </w:tcPr>
          <w:p w14:paraId="5F2739D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B0245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440593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3DD38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消化科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 w14:paraId="7B0AA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维生素K1注射液20mg+0.9%氯化钠注射液100ml静滴qd</w:t>
            </w:r>
          </w:p>
        </w:tc>
        <w:tc>
          <w:tcPr>
            <w:tcW w:w="4830" w:type="dxa"/>
            <w:shd w:val="clear" w:color="auto" w:fill="auto"/>
            <w:noWrap w:val="0"/>
            <w:vAlign w:val="center"/>
          </w:tcPr>
          <w:p w14:paraId="5D7D3D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依据药品说明书：低凝血酶原血症：肌内或深部皮下注射，每次10mg，每日1－2次，24小时内总量不超过40mg。该药遇光快速分解，使用过程应避光。</w:t>
            </w:r>
          </w:p>
          <w:p w14:paraId="36190A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静脉滴注过程中应给输液瓶套上避光袋并使用避光输液器。因此，该医嘱给药途径不适宜。</w:t>
            </w:r>
          </w:p>
        </w:tc>
      </w:tr>
      <w:tr w14:paraId="3431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noWrap w:val="0"/>
            <w:vAlign w:val="center"/>
          </w:tcPr>
          <w:p w14:paraId="0FD13A6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9B01C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440451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2986B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肝病科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 w14:paraId="13DA2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泮托拉唑钠肠溶片40mg鼻饲qd  </w:t>
            </w:r>
          </w:p>
        </w:tc>
        <w:tc>
          <w:tcPr>
            <w:tcW w:w="4830" w:type="dxa"/>
            <w:shd w:val="clear" w:color="auto" w:fill="auto"/>
            <w:noWrap w:val="0"/>
            <w:vAlign w:val="center"/>
          </w:tcPr>
          <w:p w14:paraId="7D254E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根据泮托拉唑钠肠溶片药品说明书：该药为肠溶制剂，服用时请勿咀嚼，鼻饲给药会导致药物在胃内提前释放，影响药效。因此，该医嘱给药途径不适宜。</w:t>
            </w:r>
          </w:p>
        </w:tc>
      </w:tr>
      <w:tr w14:paraId="71A3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noWrap w:val="0"/>
            <w:vAlign w:val="center"/>
          </w:tcPr>
          <w:p w14:paraId="1945E0C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D6AED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429328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4815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肺三科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 w14:paraId="433A8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复方阿嗪米特肠溶片75mg鼻饲tid  </w:t>
            </w:r>
          </w:p>
        </w:tc>
        <w:tc>
          <w:tcPr>
            <w:tcW w:w="4830" w:type="dxa"/>
            <w:shd w:val="clear" w:color="auto" w:fill="auto"/>
            <w:noWrap w:val="0"/>
            <w:vAlign w:val="center"/>
          </w:tcPr>
          <w:p w14:paraId="4E59A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复方阿嗪米特肠溶片属于肠溶片剂，鼻饲给药会破坏药物肠溶衣结构，导致药物在胃内提前释放，无法达到肠道发挥正常作用，从而影响药效。因此，该医嘱给药途径不适宜。</w:t>
            </w:r>
          </w:p>
        </w:tc>
      </w:tr>
    </w:tbl>
    <w:p w14:paraId="2A3F10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4、有配伍禁忌或者不良相互作用（2-8）的医嘱</w:t>
      </w:r>
    </w:p>
    <w:tbl>
      <w:tblPr>
        <w:tblStyle w:val="7"/>
        <w:tblW w:w="10605" w:type="dxa"/>
        <w:tblInd w:w="-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90"/>
        <w:gridCol w:w="1605"/>
        <w:gridCol w:w="2355"/>
        <w:gridCol w:w="4800"/>
      </w:tblGrid>
      <w:tr w14:paraId="71E0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noWrap w:val="0"/>
            <w:vAlign w:val="top"/>
          </w:tcPr>
          <w:p w14:paraId="69B7EB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noWrap w:val="0"/>
            <w:vAlign w:val="top"/>
          </w:tcPr>
          <w:p w14:paraId="45CAD4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605" w:type="dxa"/>
            <w:noWrap w:val="0"/>
            <w:vAlign w:val="top"/>
          </w:tcPr>
          <w:p w14:paraId="1A0DA7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2355" w:type="dxa"/>
            <w:noWrap w:val="0"/>
            <w:vAlign w:val="top"/>
          </w:tcPr>
          <w:p w14:paraId="1E955C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4800" w:type="dxa"/>
            <w:noWrap w:val="0"/>
            <w:vAlign w:val="top"/>
          </w:tcPr>
          <w:p w14:paraId="15DDC7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不合理情况说明</w:t>
            </w:r>
          </w:p>
        </w:tc>
      </w:tr>
      <w:tr w14:paraId="6A82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855" w:type="dxa"/>
            <w:noWrap w:val="0"/>
            <w:vAlign w:val="center"/>
          </w:tcPr>
          <w:p w14:paraId="33FB10E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5282403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430352</w:t>
            </w:r>
          </w:p>
        </w:tc>
        <w:tc>
          <w:tcPr>
            <w:tcW w:w="1605" w:type="dxa"/>
            <w:noWrap w:val="0"/>
            <w:vAlign w:val="center"/>
          </w:tcPr>
          <w:p w14:paraId="3857465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肺二科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 w14:paraId="3C421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注射用奥美拉唑钠 40mg 静脉滴注 qd +硫酸氢氯吡格雷片75mg 口服  qd </w:t>
            </w:r>
          </w:p>
        </w:tc>
        <w:tc>
          <w:tcPr>
            <w:tcW w:w="4800" w:type="dxa"/>
            <w:vMerge w:val="restart"/>
            <w:noWrap w:val="0"/>
            <w:vAlign w:val="center"/>
          </w:tcPr>
          <w:p w14:paraId="536B659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根据PPI说明书及质子泵抑制剂临床应用指导原则：奥美拉唑和艾司奥美拉唑主要经CYP2C19代谢，为CYP2C19抑制剂。硫酸氢氯吡格雷部分由CYP2C19代谢为活性代谢物，使用抑制此酶活性的药物将导致氯吡格雷活性代谢物水平降低，降低氯吡格雷的抗血小板作用。其中奥美拉唑和艾司奥美拉唑削弱氯吡格雷抗血小板作用最强，泮托拉唑中等。兰索拉唑和雷贝拉唑最弱，推荐选用。</w:t>
            </w:r>
          </w:p>
        </w:tc>
      </w:tr>
      <w:tr w14:paraId="07B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855" w:type="dxa"/>
            <w:noWrap w:val="0"/>
            <w:vAlign w:val="center"/>
          </w:tcPr>
          <w:p w14:paraId="5E09E66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074BBE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439565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B3F1A5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肺三科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 w14:paraId="43E3F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00" w:type="dxa"/>
            <w:vMerge w:val="continue"/>
            <w:noWrap w:val="0"/>
            <w:vAlign w:val="center"/>
          </w:tcPr>
          <w:p w14:paraId="1B32568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C032E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5、用法用量不适宜（2-5）的医嘱</w:t>
      </w:r>
    </w:p>
    <w:tbl>
      <w:tblPr>
        <w:tblStyle w:val="7"/>
        <w:tblW w:w="10560" w:type="dxa"/>
        <w:tblInd w:w="-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0"/>
        <w:gridCol w:w="1455"/>
        <w:gridCol w:w="2415"/>
        <w:gridCol w:w="4830"/>
      </w:tblGrid>
      <w:tr w14:paraId="4373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06F26E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  <w:noWrap w:val="0"/>
            <w:vAlign w:val="top"/>
          </w:tcPr>
          <w:p w14:paraId="333185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病例号</w:t>
            </w:r>
          </w:p>
        </w:tc>
        <w:tc>
          <w:tcPr>
            <w:tcW w:w="1455" w:type="dxa"/>
            <w:noWrap w:val="0"/>
            <w:vAlign w:val="top"/>
          </w:tcPr>
          <w:p w14:paraId="6EF07F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病例号</w:t>
            </w:r>
          </w:p>
        </w:tc>
        <w:tc>
          <w:tcPr>
            <w:tcW w:w="2415" w:type="dxa"/>
            <w:noWrap w:val="0"/>
            <w:vAlign w:val="top"/>
          </w:tcPr>
          <w:p w14:paraId="09BC53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药品名称及用法用量</w:t>
            </w:r>
          </w:p>
        </w:tc>
        <w:tc>
          <w:tcPr>
            <w:tcW w:w="4830" w:type="dxa"/>
            <w:noWrap w:val="0"/>
            <w:vAlign w:val="top"/>
          </w:tcPr>
          <w:p w14:paraId="4B2A78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不合理情况说明</w:t>
            </w:r>
          </w:p>
        </w:tc>
      </w:tr>
      <w:tr w14:paraId="0D05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noWrap w:val="0"/>
            <w:vAlign w:val="center"/>
          </w:tcPr>
          <w:p w14:paraId="31B89A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4BF3DC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402580</w:t>
            </w:r>
          </w:p>
        </w:tc>
        <w:tc>
          <w:tcPr>
            <w:tcW w:w="1455" w:type="dxa"/>
            <w:noWrap w:val="0"/>
            <w:vAlign w:val="center"/>
          </w:tcPr>
          <w:p w14:paraId="273378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肺二科</w:t>
            </w:r>
          </w:p>
        </w:tc>
        <w:tc>
          <w:tcPr>
            <w:tcW w:w="2415" w:type="dxa"/>
            <w:noWrap w:val="0"/>
            <w:vAlign w:val="center"/>
          </w:tcPr>
          <w:p w14:paraId="1B449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注射用头孢曲松钠</w:t>
            </w:r>
          </w:p>
          <w:p w14:paraId="3B46B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2g 静滴 q12h</w:t>
            </w:r>
          </w:p>
        </w:tc>
        <w:tc>
          <w:tcPr>
            <w:tcW w:w="4830" w:type="dxa"/>
            <w:vMerge w:val="restart"/>
            <w:noWrap w:val="0"/>
            <w:vAlign w:val="center"/>
          </w:tcPr>
          <w:p w14:paraId="010C3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依据药品说明书：成年人及12岁以上儿童，体重50公斤以上儿童均使用成人剂量，通常剂量1－2g，每日一次，危重病人或由中度敏感菌引起的感染，剂量可增至4g，每日一次。因此，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该医嘱用法用量不适宜。</w:t>
            </w:r>
          </w:p>
        </w:tc>
      </w:tr>
      <w:tr w14:paraId="541A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5E7B09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 w14:paraId="7B163E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440126</w:t>
            </w:r>
          </w:p>
        </w:tc>
        <w:tc>
          <w:tcPr>
            <w:tcW w:w="1455" w:type="dxa"/>
            <w:noWrap w:val="0"/>
            <w:vAlign w:val="center"/>
          </w:tcPr>
          <w:p w14:paraId="0130D1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肺三科</w:t>
            </w:r>
          </w:p>
        </w:tc>
        <w:tc>
          <w:tcPr>
            <w:tcW w:w="2415" w:type="dxa"/>
            <w:noWrap w:val="0"/>
            <w:vAlign w:val="center"/>
          </w:tcPr>
          <w:p w14:paraId="4D8B4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注射用头孢曲松钠</w:t>
            </w:r>
          </w:p>
          <w:p w14:paraId="2BD43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2g 静滴 bid</w:t>
            </w:r>
          </w:p>
        </w:tc>
        <w:tc>
          <w:tcPr>
            <w:tcW w:w="4830" w:type="dxa"/>
            <w:vMerge w:val="continue"/>
            <w:noWrap w:val="0"/>
            <w:vAlign w:val="center"/>
          </w:tcPr>
          <w:p w14:paraId="15615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E8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1A3C43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 w14:paraId="2C35B1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435107</w:t>
            </w:r>
          </w:p>
        </w:tc>
        <w:tc>
          <w:tcPr>
            <w:tcW w:w="1455" w:type="dxa"/>
            <w:noWrap w:val="0"/>
            <w:vAlign w:val="center"/>
          </w:tcPr>
          <w:p w14:paraId="475119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肺三科</w:t>
            </w:r>
          </w:p>
        </w:tc>
        <w:tc>
          <w:tcPr>
            <w:tcW w:w="2415" w:type="dxa"/>
            <w:noWrap w:val="0"/>
            <w:vAlign w:val="center"/>
          </w:tcPr>
          <w:p w14:paraId="7AE9C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硝苯地平控释片30mg  口服  bid  </w:t>
            </w:r>
          </w:p>
        </w:tc>
        <w:tc>
          <w:tcPr>
            <w:tcW w:w="4830" w:type="dxa"/>
            <w:noWrap w:val="0"/>
            <w:vAlign w:val="center"/>
          </w:tcPr>
          <w:p w14:paraId="7BA41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依据药品说明书：该药推荐一次30mg，一日一次，若需要，剂量可根据个体需求增加至60mg，每日一次。该药在24小时内近似恒速释放硝苯地平，维持稳定血药浓度，无需分两次服用。</w:t>
            </w:r>
          </w:p>
        </w:tc>
      </w:tr>
      <w:tr w14:paraId="4B1F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18F9D7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 w14:paraId="132509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439953</w:t>
            </w:r>
          </w:p>
        </w:tc>
        <w:tc>
          <w:tcPr>
            <w:tcW w:w="1455" w:type="dxa"/>
            <w:noWrap w:val="0"/>
            <w:vAlign w:val="center"/>
          </w:tcPr>
          <w:p w14:paraId="5E60ED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骨一科</w:t>
            </w:r>
          </w:p>
        </w:tc>
        <w:tc>
          <w:tcPr>
            <w:tcW w:w="2415" w:type="dxa"/>
            <w:noWrap w:val="0"/>
            <w:vAlign w:val="center"/>
          </w:tcPr>
          <w:p w14:paraId="425EA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甲硝唑氯化钠注射液0.5g  静滴  bid</w:t>
            </w:r>
          </w:p>
        </w:tc>
        <w:tc>
          <w:tcPr>
            <w:tcW w:w="4830" w:type="dxa"/>
            <w:noWrap w:val="0"/>
            <w:vAlign w:val="center"/>
          </w:tcPr>
          <w:p w14:paraId="72913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依据药品说明书，甲硝唑氯化钠注射液成人常用量：厌氧菌感染，静脉给药首次按体重15mg/kg（70kg成人为1g），维持量按体重7.5mg/kg，每6～8小时静脉滴注一次。因此，该医嘱用法用量不适宜。</w:t>
            </w:r>
          </w:p>
        </w:tc>
      </w:tr>
      <w:tr w14:paraId="7A67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1A8EF2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024410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439217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5F9B6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肺三科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41C8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苯溴马隆片50mg口服qd </w:t>
            </w:r>
          </w:p>
        </w:tc>
        <w:tc>
          <w:tcPr>
            <w:tcW w:w="4830" w:type="dxa"/>
            <w:shd w:val="clear" w:color="auto" w:fill="auto"/>
            <w:noWrap w:val="0"/>
            <w:vAlign w:val="center"/>
          </w:tcPr>
          <w:p w14:paraId="2B1A7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依据药品说明书：该药推荐成人每次口服50mg（一粒），每日一次，早餐时服用。原因：苯溴马隆口服后8-12h可达到最大降尿酸作用，因此若8点服用早餐，18点左右尿酸的肾排泄将达到高峰，在此期间患者可摄入足量水分，确保足够尿量，促进尿酸排泄。因此，该药用法不适宜。</w:t>
            </w:r>
          </w:p>
        </w:tc>
      </w:tr>
    </w:tbl>
    <w:p w14:paraId="0FB61C4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8FDF464">
      <w:pPr>
        <w:numPr>
          <w:ilvl w:val="0"/>
          <w:numId w:val="0"/>
        </w:numPr>
        <w:spacing w:line="360" w:lineRule="auto"/>
        <w:ind w:firstLine="5520" w:firstLineChars="2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药剂科</w:t>
      </w:r>
    </w:p>
    <w:p w14:paraId="038438C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2026年4月</w:t>
      </w:r>
    </w:p>
    <w:p w14:paraId="08F9E656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608731D6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00F021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宋体" w:hAnsi="宋体"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AFA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266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266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5D9FE"/>
    <w:multiLevelType w:val="singleLevel"/>
    <w:tmpl w:val="8695D9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D46DCE"/>
    <w:multiLevelType w:val="singleLevel"/>
    <w:tmpl w:val="ACD46D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C2CF35"/>
    <w:multiLevelType w:val="singleLevel"/>
    <w:tmpl w:val="F3C2CF35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9590C60"/>
    <w:multiLevelType w:val="singleLevel"/>
    <w:tmpl w:val="F9590C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BC53B96"/>
    <w:multiLevelType w:val="singleLevel"/>
    <w:tmpl w:val="1BC53B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E519892"/>
    <w:multiLevelType w:val="singleLevel"/>
    <w:tmpl w:val="6E5198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2403"/>
    <w:rsid w:val="001E2D8E"/>
    <w:rsid w:val="00457224"/>
    <w:rsid w:val="006E2461"/>
    <w:rsid w:val="008C7B88"/>
    <w:rsid w:val="00DD2DE7"/>
    <w:rsid w:val="01AB6E40"/>
    <w:rsid w:val="0237790D"/>
    <w:rsid w:val="0329473F"/>
    <w:rsid w:val="03C647FB"/>
    <w:rsid w:val="05BA44E3"/>
    <w:rsid w:val="05BC1DB8"/>
    <w:rsid w:val="06CC0162"/>
    <w:rsid w:val="06CE75F5"/>
    <w:rsid w:val="076A4C1A"/>
    <w:rsid w:val="08210BE8"/>
    <w:rsid w:val="088378AE"/>
    <w:rsid w:val="08ED3501"/>
    <w:rsid w:val="092D012B"/>
    <w:rsid w:val="0A0F31CD"/>
    <w:rsid w:val="0A2C62B3"/>
    <w:rsid w:val="0A5B7135"/>
    <w:rsid w:val="0A86081D"/>
    <w:rsid w:val="0BB9062E"/>
    <w:rsid w:val="0D487EFE"/>
    <w:rsid w:val="0F4C0671"/>
    <w:rsid w:val="0FE7089E"/>
    <w:rsid w:val="11DB6AAC"/>
    <w:rsid w:val="120408F4"/>
    <w:rsid w:val="131254D2"/>
    <w:rsid w:val="14AD5530"/>
    <w:rsid w:val="14E13A03"/>
    <w:rsid w:val="152A6D51"/>
    <w:rsid w:val="166144C6"/>
    <w:rsid w:val="16E55927"/>
    <w:rsid w:val="179F7837"/>
    <w:rsid w:val="18243C2F"/>
    <w:rsid w:val="186214EA"/>
    <w:rsid w:val="188D7510"/>
    <w:rsid w:val="19B9268B"/>
    <w:rsid w:val="19DA21EE"/>
    <w:rsid w:val="1AA66854"/>
    <w:rsid w:val="1B045B0B"/>
    <w:rsid w:val="1B1307B0"/>
    <w:rsid w:val="1D173C6A"/>
    <w:rsid w:val="1D643251"/>
    <w:rsid w:val="1D7C1D91"/>
    <w:rsid w:val="1E6F14E4"/>
    <w:rsid w:val="1E9976EB"/>
    <w:rsid w:val="1ED23D7A"/>
    <w:rsid w:val="1F521540"/>
    <w:rsid w:val="1FFF6B11"/>
    <w:rsid w:val="20941554"/>
    <w:rsid w:val="22A93491"/>
    <w:rsid w:val="243534ED"/>
    <w:rsid w:val="25442338"/>
    <w:rsid w:val="2583502A"/>
    <w:rsid w:val="265A3A28"/>
    <w:rsid w:val="26647BE9"/>
    <w:rsid w:val="275074F4"/>
    <w:rsid w:val="279A1BEA"/>
    <w:rsid w:val="27CB3F30"/>
    <w:rsid w:val="28B36965"/>
    <w:rsid w:val="28E00B17"/>
    <w:rsid w:val="29166E63"/>
    <w:rsid w:val="29415F65"/>
    <w:rsid w:val="29AC5345"/>
    <w:rsid w:val="2A6A3385"/>
    <w:rsid w:val="2A731D9E"/>
    <w:rsid w:val="2B5E5693"/>
    <w:rsid w:val="2D7626DC"/>
    <w:rsid w:val="2F212FA4"/>
    <w:rsid w:val="2F35398B"/>
    <w:rsid w:val="2FEB5812"/>
    <w:rsid w:val="306D37D1"/>
    <w:rsid w:val="31E71B7D"/>
    <w:rsid w:val="32034554"/>
    <w:rsid w:val="32EB5869"/>
    <w:rsid w:val="3422679C"/>
    <w:rsid w:val="342F1F76"/>
    <w:rsid w:val="354E440C"/>
    <w:rsid w:val="3553725A"/>
    <w:rsid w:val="35A86271"/>
    <w:rsid w:val="35ED49DD"/>
    <w:rsid w:val="362D57B4"/>
    <w:rsid w:val="36640C1E"/>
    <w:rsid w:val="37693CA3"/>
    <w:rsid w:val="38032EC4"/>
    <w:rsid w:val="38247607"/>
    <w:rsid w:val="3899321B"/>
    <w:rsid w:val="38BC14DA"/>
    <w:rsid w:val="399402C5"/>
    <w:rsid w:val="39C95CED"/>
    <w:rsid w:val="3A8C1C6B"/>
    <w:rsid w:val="3A98704E"/>
    <w:rsid w:val="3AB07FF6"/>
    <w:rsid w:val="3B0B5234"/>
    <w:rsid w:val="3B3639A9"/>
    <w:rsid w:val="3B9F3746"/>
    <w:rsid w:val="3BB3583D"/>
    <w:rsid w:val="3BDA566F"/>
    <w:rsid w:val="3C6F5460"/>
    <w:rsid w:val="3DF01006"/>
    <w:rsid w:val="3F6E574A"/>
    <w:rsid w:val="407C5FDC"/>
    <w:rsid w:val="40C1169E"/>
    <w:rsid w:val="42754D95"/>
    <w:rsid w:val="43653F0F"/>
    <w:rsid w:val="439F35F3"/>
    <w:rsid w:val="463351B6"/>
    <w:rsid w:val="468E7C9A"/>
    <w:rsid w:val="4702268C"/>
    <w:rsid w:val="47FA7622"/>
    <w:rsid w:val="484A67E7"/>
    <w:rsid w:val="4967358B"/>
    <w:rsid w:val="499D73BF"/>
    <w:rsid w:val="49BB1681"/>
    <w:rsid w:val="49E12C56"/>
    <w:rsid w:val="49E33805"/>
    <w:rsid w:val="4A77763C"/>
    <w:rsid w:val="4B5538D6"/>
    <w:rsid w:val="4B5C206A"/>
    <w:rsid w:val="4B962DB7"/>
    <w:rsid w:val="4C080708"/>
    <w:rsid w:val="4C361B10"/>
    <w:rsid w:val="4C6360CA"/>
    <w:rsid w:val="4D5F2D35"/>
    <w:rsid w:val="4DBC05B9"/>
    <w:rsid w:val="4DE55782"/>
    <w:rsid w:val="4DEE40CD"/>
    <w:rsid w:val="4E0C1553"/>
    <w:rsid w:val="4E395331"/>
    <w:rsid w:val="4E867B4A"/>
    <w:rsid w:val="4EC6752F"/>
    <w:rsid w:val="4ED57129"/>
    <w:rsid w:val="4F7505EE"/>
    <w:rsid w:val="4FB72558"/>
    <w:rsid w:val="4FBF7BF4"/>
    <w:rsid w:val="4FF707C5"/>
    <w:rsid w:val="4FFA6D45"/>
    <w:rsid w:val="51292021"/>
    <w:rsid w:val="51B524D1"/>
    <w:rsid w:val="520F0626"/>
    <w:rsid w:val="52177711"/>
    <w:rsid w:val="525D22C2"/>
    <w:rsid w:val="52B40C60"/>
    <w:rsid w:val="5394125E"/>
    <w:rsid w:val="539A52C2"/>
    <w:rsid w:val="544D6654"/>
    <w:rsid w:val="54AE7123"/>
    <w:rsid w:val="55E705D6"/>
    <w:rsid w:val="575B2FEA"/>
    <w:rsid w:val="57E448AF"/>
    <w:rsid w:val="57FE4203"/>
    <w:rsid w:val="58073115"/>
    <w:rsid w:val="58156C69"/>
    <w:rsid w:val="588718E0"/>
    <w:rsid w:val="58E23CD5"/>
    <w:rsid w:val="590944A9"/>
    <w:rsid w:val="59C05F67"/>
    <w:rsid w:val="5A615C77"/>
    <w:rsid w:val="5AF20429"/>
    <w:rsid w:val="5BE23467"/>
    <w:rsid w:val="5BEF0F2B"/>
    <w:rsid w:val="5C487AF0"/>
    <w:rsid w:val="5DC53882"/>
    <w:rsid w:val="5DFC1EDA"/>
    <w:rsid w:val="5EFB0440"/>
    <w:rsid w:val="60931660"/>
    <w:rsid w:val="609B1E22"/>
    <w:rsid w:val="61725640"/>
    <w:rsid w:val="63B74515"/>
    <w:rsid w:val="64172E1E"/>
    <w:rsid w:val="64246431"/>
    <w:rsid w:val="64762372"/>
    <w:rsid w:val="65024CDE"/>
    <w:rsid w:val="65CA1AC2"/>
    <w:rsid w:val="660404C6"/>
    <w:rsid w:val="68BC507E"/>
    <w:rsid w:val="68C82ECB"/>
    <w:rsid w:val="68F03ACB"/>
    <w:rsid w:val="6A2B4273"/>
    <w:rsid w:val="6A755099"/>
    <w:rsid w:val="6B3260E4"/>
    <w:rsid w:val="6B7E54B0"/>
    <w:rsid w:val="6C6B1040"/>
    <w:rsid w:val="6DD26B08"/>
    <w:rsid w:val="6EBB22F9"/>
    <w:rsid w:val="6F0C121A"/>
    <w:rsid w:val="6FBD2F07"/>
    <w:rsid w:val="704F7FAB"/>
    <w:rsid w:val="70566167"/>
    <w:rsid w:val="709D624E"/>
    <w:rsid w:val="71542301"/>
    <w:rsid w:val="71EB5734"/>
    <w:rsid w:val="72402885"/>
    <w:rsid w:val="73197637"/>
    <w:rsid w:val="74381A66"/>
    <w:rsid w:val="748057E3"/>
    <w:rsid w:val="75F12711"/>
    <w:rsid w:val="764F418A"/>
    <w:rsid w:val="764F71C7"/>
    <w:rsid w:val="77A2369A"/>
    <w:rsid w:val="79D70F3A"/>
    <w:rsid w:val="79E206C5"/>
    <w:rsid w:val="7A210E8A"/>
    <w:rsid w:val="7A43673F"/>
    <w:rsid w:val="7AFD7263"/>
    <w:rsid w:val="7B2816B8"/>
    <w:rsid w:val="7BC46442"/>
    <w:rsid w:val="7BCD6478"/>
    <w:rsid w:val="7C1B3C1B"/>
    <w:rsid w:val="7C232B87"/>
    <w:rsid w:val="7E242D21"/>
    <w:rsid w:val="7E281589"/>
    <w:rsid w:val="7EF6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4-&#33647;&#20107;&#20250;\2026&#20840;&#24180;%20&#20316;&#22270;&#2999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第一季度各病区抗菌药物使用强度</a:t>
            </a:r>
          </a:p>
          <a:p>
            <a:pPr defTabSz="914400"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235092888516761"/>
          <c:y val="0.023052382774073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>
                    <a:hueOff val="-1670000"/>
                  </a:schemeClr>
                </a:gs>
                <a:gs pos="100000">
                  <a:schemeClr val="accent1"/>
                </a:gs>
              </a:gsLst>
              <a:lin ang="5400000" scaled="0"/>
            </a:gradFill>
            <a:ln>
              <a:gradFill>
                <a:gsLst>
                  <a:gs pos="0">
                    <a:schemeClr val="accent1">
                      <a:lumMod val="75000"/>
                      <a:hueOff val="-1670000"/>
                    </a:schemeClr>
                  </a:gs>
                  <a:gs pos="100000">
                    <a:schemeClr val="accent1">
                      <a:lumMod val="75000"/>
                    </a:schemeClr>
                  </a:gs>
                </a:gsLst>
                <a:lin ang="5160000" scaled="1"/>
              </a:gradFill>
            </a:ln>
            <a:effectLst/>
          </c:spPr>
          <c:invertIfNegative val="0"/>
          <c:dPt>
            <c:idx val="2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Lbls>
            <c:dLbl>
              <c:idx val="0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'[2026全年 作图用.xlsx]Sheet1'!$B$2:$B$24</c:f>
              <c:strCache>
                <c:ptCount val="23"/>
                <c:pt idx="1" c:formatCode="@">
                  <c:v>急诊监护室</c:v>
                </c:pt>
                <c:pt idx="2" c:formatCode="@">
                  <c:v>肿瘤科</c:v>
                </c:pt>
                <c:pt idx="3" c:formatCode="@">
                  <c:v>呼吸内科</c:v>
                </c:pt>
                <c:pt idx="4" c:formatCode="@">
                  <c:v>神经内科</c:v>
                </c:pt>
                <c:pt idx="5" c:formatCode="@">
                  <c:v>心血管内科</c:v>
                </c:pt>
                <c:pt idx="6" c:formatCode="@">
                  <c:v>消化内科</c:v>
                </c:pt>
                <c:pt idx="7" c:formatCode="@">
                  <c:v>内分泌科</c:v>
                </c:pt>
                <c:pt idx="8" c:formatCode="@">
                  <c:v>外一科</c:v>
                </c:pt>
                <c:pt idx="9" c:formatCode="@">
                  <c:v>外二科</c:v>
                </c:pt>
                <c:pt idx="10" c:formatCode="@">
                  <c:v>骨一科</c:v>
                </c:pt>
                <c:pt idx="11" c:formatCode="@">
                  <c:v>外四科</c:v>
                </c:pt>
                <c:pt idx="12" c:formatCode="@">
                  <c:v>康复医学科</c:v>
                </c:pt>
                <c:pt idx="13" c:formatCode="@">
                  <c:v>疼痛科</c:v>
                </c:pt>
                <c:pt idx="14" c:formatCode="@">
                  <c:v>感染科</c:v>
                </c:pt>
                <c:pt idx="15" c:formatCode="@">
                  <c:v>感染二科</c:v>
                </c:pt>
                <c:pt idx="16" c:formatCode="@">
                  <c:v>中西医肝病科</c:v>
                </c:pt>
                <c:pt idx="17" c:formatCode="@">
                  <c:v>肝病科</c:v>
                </c:pt>
                <c:pt idx="18" c:formatCode="@">
                  <c:v>肺病一科</c:v>
                </c:pt>
                <c:pt idx="19" c:formatCode="@">
                  <c:v>肺病二科</c:v>
                </c:pt>
                <c:pt idx="20" c:formatCode="@">
                  <c:v>肺病三科</c:v>
                </c:pt>
                <c:pt idx="21" c:formatCode="@">
                  <c:v>肺病四科</c:v>
                </c:pt>
                <c:pt idx="22">
                  <c:v>全院</c:v>
                </c:pt>
              </c:strCache>
            </c:strRef>
          </c:cat>
          <c:val>
            <c:numRef>
              <c:f>'[2026全年 作图用.xlsx]Sheet1'!$C$2:$C$24</c:f>
              <c:numCache>
                <c:formatCode>@</c:formatCode>
                <c:ptCount val="23"/>
                <c:pt idx="0">
                  <c:v>0</c:v>
                </c:pt>
                <c:pt idx="1" c:formatCode="#,##0.00">
                  <c:v>109.763519553073</c:v>
                </c:pt>
                <c:pt idx="2" c:formatCode="#,##0.00">
                  <c:v>18.7718380566802</c:v>
                </c:pt>
                <c:pt idx="3" c:formatCode="#,##0.00">
                  <c:v>50.9197676669893</c:v>
                </c:pt>
                <c:pt idx="4" c:formatCode="#,##0.00">
                  <c:v>4.3757216828479</c:v>
                </c:pt>
                <c:pt idx="5" c:formatCode="#,##0.00">
                  <c:v>19.0322338403042</c:v>
                </c:pt>
                <c:pt idx="6" c:formatCode="#,##0.00">
                  <c:v>25.7679340028694</c:v>
                </c:pt>
                <c:pt idx="7" c:formatCode="#,##0.00">
                  <c:v>10.8257061340942</c:v>
                </c:pt>
                <c:pt idx="8" c:formatCode="#,##0.00">
                  <c:v>35.0644</c:v>
                </c:pt>
                <c:pt idx="9" c:formatCode="#,##0.00">
                  <c:v>17.1382868525896</c:v>
                </c:pt>
                <c:pt idx="10" c:formatCode="#,##0.00">
                  <c:v>23.6076750330251</c:v>
                </c:pt>
                <c:pt idx="11" c:formatCode="#,##0.00">
                  <c:v>22.032323943662</c:v>
                </c:pt>
                <c:pt idx="12" c:formatCode="#,##0.00">
                  <c:v>0</c:v>
                </c:pt>
                <c:pt idx="13" c:formatCode="#,##0.00">
                  <c:v>9.55969156447417</c:v>
                </c:pt>
                <c:pt idx="14" c:formatCode="#,##0.00">
                  <c:v>49.5621896955503</c:v>
                </c:pt>
                <c:pt idx="15" c:formatCode="#,##0.00">
                  <c:v>117.246990979381</c:v>
                </c:pt>
                <c:pt idx="16" c:formatCode="#,##0.00">
                  <c:v>18.1748910891089</c:v>
                </c:pt>
                <c:pt idx="17" c:formatCode="#,##0.00">
                  <c:v>33.7019601100413</c:v>
                </c:pt>
                <c:pt idx="18" c:formatCode="#,##0.00">
                  <c:v>20.0116807268008</c:v>
                </c:pt>
                <c:pt idx="19" c:formatCode="#,##0.00">
                  <c:v>29.3707544723879</c:v>
                </c:pt>
                <c:pt idx="20" c:formatCode="#,##0.00">
                  <c:v>45.5862379807692</c:v>
                </c:pt>
                <c:pt idx="21" c:formatCode="#,##0.00">
                  <c:v>24.3005707038681</c:v>
                </c:pt>
                <c:pt idx="22" c:formatCode="#,###.00">
                  <c:v>30.7199023905002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88440570"/>
        <c:axId val="956137516"/>
      </c:barChart>
      <c:lineChart>
        <c:grouping val="standard"/>
        <c:varyColors val="0"/>
        <c:ser>
          <c:idx val="1"/>
          <c:order val="1"/>
          <c:spPr>
            <a:ln w="28575" cap="rnd">
              <a:gradFill>
                <a:gsLst>
                  <a:gs pos="0">
                    <a:schemeClr val="accent2">
                      <a:hueOff val="-1670000"/>
                    </a:schemeClr>
                  </a:gs>
                  <a:gs pos="100000">
                    <a:schemeClr val="accent2"/>
                  </a:gs>
                </a:gsLst>
                <a:lin ang="5160000" scaled="1"/>
              </a:gradFill>
              <a:round/>
            </a:ln>
            <a:effectLst/>
          </c:spPr>
          <c:marker>
            <c:symbol val="none"/>
          </c:marker>
          <c:dLbls>
            <c:delete val="1"/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'[2026全年 作图用.xlsx]Sheet1'!$B$2:$B$24</c:f>
              <c:strCache>
                <c:ptCount val="23"/>
                <c:pt idx="1" c:formatCode="@">
                  <c:v>急诊监护室</c:v>
                </c:pt>
                <c:pt idx="2" c:formatCode="@">
                  <c:v>肿瘤科</c:v>
                </c:pt>
                <c:pt idx="3" c:formatCode="@">
                  <c:v>呼吸内科</c:v>
                </c:pt>
                <c:pt idx="4" c:formatCode="@">
                  <c:v>神经内科</c:v>
                </c:pt>
                <c:pt idx="5" c:formatCode="@">
                  <c:v>心血管内科</c:v>
                </c:pt>
                <c:pt idx="6" c:formatCode="@">
                  <c:v>消化内科</c:v>
                </c:pt>
                <c:pt idx="7" c:formatCode="@">
                  <c:v>内分泌科</c:v>
                </c:pt>
                <c:pt idx="8" c:formatCode="@">
                  <c:v>外一科</c:v>
                </c:pt>
                <c:pt idx="9" c:formatCode="@">
                  <c:v>外二科</c:v>
                </c:pt>
                <c:pt idx="10" c:formatCode="@">
                  <c:v>骨一科</c:v>
                </c:pt>
                <c:pt idx="11" c:formatCode="@">
                  <c:v>外四科</c:v>
                </c:pt>
                <c:pt idx="12" c:formatCode="@">
                  <c:v>康复医学科</c:v>
                </c:pt>
                <c:pt idx="13" c:formatCode="@">
                  <c:v>疼痛科</c:v>
                </c:pt>
                <c:pt idx="14" c:formatCode="@">
                  <c:v>感染科</c:v>
                </c:pt>
                <c:pt idx="15" c:formatCode="@">
                  <c:v>感染二科</c:v>
                </c:pt>
                <c:pt idx="16" c:formatCode="@">
                  <c:v>中西医肝病科</c:v>
                </c:pt>
                <c:pt idx="17" c:formatCode="@">
                  <c:v>肝病科</c:v>
                </c:pt>
                <c:pt idx="18" c:formatCode="@">
                  <c:v>肺病一科</c:v>
                </c:pt>
                <c:pt idx="19" c:formatCode="@">
                  <c:v>肺病二科</c:v>
                </c:pt>
                <c:pt idx="20" c:formatCode="@">
                  <c:v>肺病三科</c:v>
                </c:pt>
                <c:pt idx="21" c:formatCode="@">
                  <c:v>肺病四科</c:v>
                </c:pt>
                <c:pt idx="22">
                  <c:v>全院</c:v>
                </c:pt>
              </c:strCache>
            </c:strRef>
          </c:cat>
          <c:val>
            <c:numRef>
              <c:f>'[2026全年 作图用.xlsx]Sheet1'!$D$2:$D$24</c:f>
              <c:numCache>
                <c:formatCode>General</c:formatCode>
                <c:ptCount val="23"/>
                <c:pt idx="1" c:formatCode="#,##0.00">
                  <c:v>40</c:v>
                </c:pt>
                <c:pt idx="2" c:formatCode="#,##0.00">
                  <c:v>40</c:v>
                </c:pt>
                <c:pt idx="3" c:formatCode="#,##0.00">
                  <c:v>40</c:v>
                </c:pt>
                <c:pt idx="4" c:formatCode="#,##0.00">
                  <c:v>40</c:v>
                </c:pt>
                <c:pt idx="5" c:formatCode="#,##0.00">
                  <c:v>40</c:v>
                </c:pt>
                <c:pt idx="6" c:formatCode="#,##0.00">
                  <c:v>40</c:v>
                </c:pt>
                <c:pt idx="7" c:formatCode="#,##0.00">
                  <c:v>40</c:v>
                </c:pt>
                <c:pt idx="8" c:formatCode="#,##0.00">
                  <c:v>40</c:v>
                </c:pt>
                <c:pt idx="9" c:formatCode="#,##0.00">
                  <c:v>40</c:v>
                </c:pt>
                <c:pt idx="10" c:formatCode="#,##0.00">
                  <c:v>40</c:v>
                </c:pt>
                <c:pt idx="11" c:formatCode="#,##0.00">
                  <c:v>40</c:v>
                </c:pt>
                <c:pt idx="12" c:formatCode="#,##0.00">
                  <c:v>40</c:v>
                </c:pt>
                <c:pt idx="13" c:formatCode="#,##0.00">
                  <c:v>40</c:v>
                </c:pt>
                <c:pt idx="14" c:formatCode="#,##0.00">
                  <c:v>40</c:v>
                </c:pt>
                <c:pt idx="15" c:formatCode="#,##0.00">
                  <c:v>40</c:v>
                </c:pt>
                <c:pt idx="16" c:formatCode="#,##0.00">
                  <c:v>40</c:v>
                </c:pt>
                <c:pt idx="17" c:formatCode="#,##0.00">
                  <c:v>40</c:v>
                </c:pt>
                <c:pt idx="18" c:formatCode="#,##0.00">
                  <c:v>40</c:v>
                </c:pt>
                <c:pt idx="19" c:formatCode="#,##0.00">
                  <c:v>40</c:v>
                </c:pt>
                <c:pt idx="20" c:formatCode="#,##0.00">
                  <c:v>40</c:v>
                </c:pt>
                <c:pt idx="21" c:formatCode="#,##0.00">
                  <c:v>40</c:v>
                </c:pt>
                <c:pt idx="22" c:formatCode="#,##0.00">
                  <c:v>40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88440570"/>
        <c:axId val="956137516"/>
      </c:lineChart>
      <c:catAx>
        <c:axId val="48844057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6137516"/>
        <c:crosses val="autoZero"/>
        <c:auto val="1"/>
        <c:lblAlgn val="ctr"/>
        <c:lblOffset val="100"/>
        <c:noMultiLvlLbl val="0"/>
      </c:catAx>
      <c:valAx>
        <c:axId val="956137516"/>
        <c:scaling>
          <c:orientation val="minMax"/>
          <c:max val="120"/>
        </c:scaling>
        <c:delete val="1"/>
        <c:axPos val="l"/>
        <c:numFmt formatCode="@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844057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7e7fda-d2e5-4f5d-950a-c673cac17572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05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hueOff val="-1670000"/>
            </a:schemeClr>
          </a:gs>
          <a:gs pos="100000">
            <a:schemeClr val="phClr"/>
          </a:gs>
        </a:gsLst>
        <a:lin ang="5400000" scaled="0"/>
      </a:gradFill>
      <a:ln>
        <a:gradFill>
          <a:gsLst>
            <a:gs pos="0">
              <a:schemeClr val="phClr">
                <a:lumMod val="75000"/>
                <a:hueOff val="-1670000"/>
              </a:schemeClr>
            </a:gs>
            <a:gs pos="100000">
              <a:schemeClr val="phClr">
                <a:lumMod val="75000"/>
              </a:schemeClr>
            </a:gs>
          </a:gsLst>
          <a:lin ang="516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>
                <a:hueOff val="-1670000"/>
              </a:schemeClr>
            </a:gs>
            <a:gs pos="100000">
              <a:schemeClr val="phClr"/>
            </a:gs>
          </a:gsLst>
          <a:lin ang="5160000" scaled="1"/>
        </a:gra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271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2025-01-14T06:34:00Z</dcterms:created>
  <dc:creator>Administrator</dc:creator>
  <cp:lastModifiedBy>hp</cp:lastModifiedBy>
  <cp:lastPrinted>2025-04-24T00:20:00Z</cp:lastPrinted>
  <dcterms:modified xsi:type="dcterms:W3CDTF">2026-04-22T06:47:49Z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FB6840A7C31449FB8E9DD650EF421AB3_12</vt:lpwstr>
  </property>
</Properties>
</file>