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2024年秦皇岛市第三医院</w:t>
      </w:r>
    </w:p>
    <w:p>
      <w:pPr>
        <w:jc w:val="center"/>
        <w:rPr>
          <w:rFonts w:hint="eastAsia" w:ascii="方正小标宋_GBK" w:hAnsi="方正小标宋_GBK" w:eastAsia="方正小标宋_GBK" w:cs="方正小标宋_GBK"/>
          <w:b/>
          <w:bCs/>
          <w:sz w:val="32"/>
          <w:szCs w:val="32"/>
          <w:lang w:val="en-US" w:eastAsia="zh-CN"/>
        </w:rPr>
      </w:pPr>
      <w:r>
        <w:rPr>
          <w:rFonts w:hint="eastAsia" w:ascii="方正小标宋_GBK" w:hAnsi="方正小标宋_GBK" w:eastAsia="方正小标宋_GBK" w:cs="方正小标宋_GBK"/>
          <w:b/>
          <w:bCs/>
          <w:sz w:val="32"/>
          <w:szCs w:val="32"/>
          <w:lang w:val="en-US" w:eastAsia="zh-CN"/>
        </w:rPr>
        <w:t>药事管理与药物治疗学委员会工作总结</w:t>
      </w:r>
    </w:p>
    <w:p>
      <w:pPr>
        <w:jc w:val="center"/>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院药事管理委员会在院领导的关怀和支持，以及全院各科室的配合帮助下，通过全体委员的共同努力，根据我院实际情况积极开展各项相关工作，并在实际工作中取得了一定的成效，现将一年来药事管理委员会各项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sz w:val="24"/>
          <w:szCs w:val="24"/>
          <w:shd w:val="clear" w:fill="FFFFFF"/>
          <w:lang w:val="en-US" w:eastAsia="zh-CN"/>
        </w:rPr>
      </w:pPr>
      <w:r>
        <w:rPr>
          <w:rFonts w:hint="eastAsia" w:ascii="黑体" w:hAnsi="黑体" w:eastAsia="黑体" w:cs="黑体"/>
          <w:sz w:val="24"/>
          <w:szCs w:val="24"/>
          <w:shd w:val="clear" w:fill="FFFFFF"/>
          <w:lang w:val="en-US" w:eastAsia="zh-CN"/>
        </w:rPr>
        <w:t>全面履行药事管理和药物治疗学委员会的职责</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修订药事管理与药物治疗学委员会工作方案、新药遴选制度、药品临时采购制度、药剂科采购管理制度。</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lang w:val="en-US" w:eastAsia="zh-CN"/>
        </w:rPr>
        <w:t>制定了秦皇岛市第三医院药物用量动态监测和超常预警制度（试行）；</w:t>
      </w:r>
      <w:r>
        <w:rPr>
          <w:rFonts w:hint="eastAsia" w:ascii="宋体" w:hAnsi="宋体" w:eastAsia="宋体" w:cs="宋体"/>
          <w:sz w:val="24"/>
          <w:szCs w:val="24"/>
          <w:shd w:val="clear" w:fill="FFFFFF"/>
          <w:lang w:val="en-US" w:eastAsia="zh-CN"/>
        </w:rPr>
        <w:t>并确保制度有效执行，进一步规范了药事管理流程。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进一步规范了药品遴选和新药引进流程，并严格落实。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4、加强了对特殊药品的临床使用和管理，确保了管理流程的严谨性，对发现的问题进行了记录、分析和整改。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卫健委2024年抗菌药物临床应用分级管理工作的通知，调整我院现有36种抗菌药物分级管理目录，成立了我院抗菌药物使用强度管理工作组并制定制定了抗菌药物使用强度专项考核办法，并设定各科室责任指标。</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黑体" w:hAnsi="黑体" w:eastAsia="黑体" w:cs="黑体"/>
          <w:b w:val="0"/>
          <w:bCs w:val="0"/>
          <w:color w:val="000000" w:themeColor="text1"/>
          <w:kern w:val="0"/>
          <w:sz w:val="24"/>
          <w:szCs w:val="24"/>
          <w14:textFill>
            <w14:solidFill>
              <w14:schemeClr w14:val="tx1"/>
            </w14:solidFill>
          </w14:textFill>
        </w:rPr>
      </w:pPr>
      <w:r>
        <w:rPr>
          <w:rFonts w:hint="eastAsia" w:ascii="黑体" w:hAnsi="黑体" w:eastAsia="黑体" w:cs="黑体"/>
          <w:sz w:val="24"/>
          <w:szCs w:val="24"/>
          <w:lang w:val="en-US" w:eastAsia="zh-CN"/>
        </w:rPr>
        <w:t>二、</w:t>
      </w:r>
      <w:r>
        <w:rPr>
          <w:rFonts w:hint="eastAsia" w:ascii="黑体" w:hAnsi="黑体" w:eastAsia="黑体" w:cs="黑体"/>
          <w:b w:val="0"/>
          <w:bCs w:val="0"/>
          <w:color w:val="000000" w:themeColor="text1"/>
          <w:kern w:val="0"/>
          <w:sz w:val="24"/>
          <w:szCs w:val="24"/>
          <w14:textFill>
            <w14:solidFill>
              <w14:schemeClr w14:val="tx1"/>
            </w14:solidFill>
          </w14:textFill>
        </w:rPr>
        <w:t>总体指标完成情况</w:t>
      </w: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23"/>
        <w:gridCol w:w="1845"/>
        <w:gridCol w:w="1845"/>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项目</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202</w:t>
            </w:r>
            <w:r>
              <w:rPr>
                <w:rFonts w:hint="eastAsia" w:ascii="宋体" w:hAnsi="宋体" w:eastAsia="宋体" w:cs="宋体"/>
                <w:b w:val="0"/>
                <w:bCs w:val="0"/>
                <w:i w:val="0"/>
                <w:iCs w:val="0"/>
                <w:color w:val="000000"/>
                <w:spacing w:val="0"/>
                <w:w w:val="100"/>
                <w:sz w:val="24"/>
                <w:szCs w:val="24"/>
                <w:vertAlign w:val="baseline"/>
                <w:lang w:val="en-US" w:eastAsia="zh-CN"/>
              </w:rPr>
              <w:t>3</w:t>
            </w:r>
            <w:r>
              <w:rPr>
                <w:rFonts w:hint="eastAsia" w:ascii="宋体" w:hAnsi="宋体" w:eastAsia="宋体" w:cs="宋体"/>
                <w:b w:val="0"/>
                <w:bCs w:val="0"/>
                <w:i w:val="0"/>
                <w:iCs w:val="0"/>
                <w:color w:val="000000"/>
                <w:spacing w:val="0"/>
                <w:w w:val="100"/>
                <w:sz w:val="24"/>
                <w:szCs w:val="24"/>
                <w:vertAlign w:val="baseline"/>
              </w:rPr>
              <w:t>全年</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202</w:t>
            </w:r>
            <w:r>
              <w:rPr>
                <w:rFonts w:hint="eastAsia" w:ascii="宋体" w:hAnsi="宋体" w:eastAsia="宋体" w:cs="宋体"/>
                <w:b w:val="0"/>
                <w:bCs w:val="0"/>
                <w:i w:val="0"/>
                <w:iCs w:val="0"/>
                <w:color w:val="000000"/>
                <w:spacing w:val="0"/>
                <w:w w:val="100"/>
                <w:sz w:val="24"/>
                <w:szCs w:val="24"/>
                <w:vertAlign w:val="baseline"/>
                <w:lang w:val="en-US" w:eastAsia="zh-CN"/>
              </w:rPr>
              <w:t>4</w:t>
            </w:r>
            <w:r>
              <w:rPr>
                <w:rFonts w:hint="eastAsia" w:ascii="宋体" w:hAnsi="宋体" w:eastAsia="宋体" w:cs="宋体"/>
                <w:b w:val="0"/>
                <w:bCs w:val="0"/>
                <w:i w:val="0"/>
                <w:iCs w:val="0"/>
                <w:color w:val="000000"/>
                <w:spacing w:val="0"/>
                <w:w w:val="100"/>
                <w:sz w:val="24"/>
                <w:szCs w:val="24"/>
                <w:vertAlign w:val="baseline"/>
              </w:rPr>
              <w:t>全年</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sz w:val="24"/>
                <w:szCs w:val="24"/>
                <w:lang w:val="en-US" w:eastAsia="zh-CN"/>
              </w:rPr>
            </w:pPr>
            <w:r>
              <w:rPr>
                <w:rFonts w:hint="eastAsia" w:ascii="宋体" w:hAnsi="宋体" w:eastAsia="宋体" w:cs="宋体"/>
                <w:b w:val="0"/>
                <w:bCs w:val="0"/>
                <w:i w:val="0"/>
                <w:iCs w:val="0"/>
                <w:color w:val="000000"/>
                <w:spacing w:val="0"/>
                <w:w w:val="100"/>
                <w:sz w:val="24"/>
                <w:szCs w:val="24"/>
                <w:vertAlign w:val="baseline"/>
              </w:rPr>
              <w:t>增长率</w:t>
            </w:r>
            <w:r>
              <w:rPr>
                <w:rFonts w:hint="eastAsia" w:ascii="宋体" w:hAnsi="宋体" w:eastAsia="宋体" w:cs="宋体"/>
                <w:b w:val="0"/>
                <w:bCs w:val="0"/>
                <w:i w:val="0"/>
                <w:iCs w:val="0"/>
                <w:color w:val="000000"/>
                <w:spacing w:val="0"/>
                <w:w w:val="100"/>
                <w:sz w:val="24"/>
                <w:szCs w:val="24"/>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调剂门诊处方数（张）</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153808</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197663</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32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center"/>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调剂住院医嘱数（张）</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center"/>
              <w:rPr>
                <w:rFonts w:hint="eastAsia" w:ascii="宋体" w:hAnsi="宋体" w:eastAsia="宋体" w:cs="宋体"/>
                <w:b w:val="0"/>
                <w:bCs w:val="0"/>
                <w:i w:val="0"/>
                <w:iCs w:val="0"/>
                <w:color w:val="000000"/>
                <w:spacing w:val="0"/>
                <w:w w:val="100"/>
                <w:sz w:val="24"/>
                <w:szCs w:val="24"/>
                <w:vertAlign w:val="baseline"/>
              </w:rPr>
            </w:pPr>
            <w:r>
              <w:rPr>
                <w:rFonts w:hint="eastAsia" w:ascii="宋体" w:hAnsi="宋体" w:eastAsia="宋体" w:cs="宋体"/>
                <w:b w:val="0"/>
                <w:bCs w:val="0"/>
                <w:i w:val="0"/>
                <w:iCs w:val="0"/>
                <w:color w:val="000000"/>
                <w:spacing w:val="0"/>
                <w:w w:val="100"/>
                <w:sz w:val="24"/>
                <w:szCs w:val="24"/>
                <w:vertAlign w:val="baseline"/>
              </w:rPr>
              <w:t>405259</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center"/>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441314</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center"/>
              <w:rPr>
                <w:rFonts w:hint="eastAsia" w:ascii="宋体" w:hAnsi="宋体" w:eastAsia="宋体" w:cs="宋体"/>
                <w:b w:val="0"/>
                <w:bCs w:val="0"/>
                <w:i w:val="0"/>
                <w:iCs w:val="0"/>
                <w:color w:val="000000"/>
                <w:spacing w:val="0"/>
                <w:w w:val="100"/>
                <w:sz w:val="24"/>
                <w:szCs w:val="24"/>
                <w:vertAlign w:val="baseline"/>
                <w:lang w:val="en-US" w:eastAsia="zh-CN"/>
              </w:rPr>
            </w:pPr>
            <w:r>
              <w:rPr>
                <w:rFonts w:hint="eastAsia" w:ascii="宋体" w:hAnsi="宋体" w:eastAsia="宋体" w:cs="宋体"/>
                <w:b w:val="0"/>
                <w:bCs w:val="0"/>
                <w:i w:val="0"/>
                <w:iCs w:val="0"/>
                <w:color w:val="000000"/>
                <w:spacing w:val="0"/>
                <w:w w:val="100"/>
                <w:sz w:val="24"/>
                <w:szCs w:val="24"/>
                <w:vertAlign w:val="baseli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322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调剂中草药处方（张）</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480" w:firstLineChars="200"/>
              <w:jc w:val="center"/>
              <w:rPr>
                <w:rFonts w:hint="eastAsia" w:ascii="宋体" w:hAnsi="宋体" w:eastAsia="宋体" w:cs="宋体"/>
                <w:sz w:val="24"/>
                <w:szCs w:val="24"/>
              </w:rPr>
            </w:pPr>
            <w:r>
              <w:rPr>
                <w:rFonts w:hint="eastAsia" w:ascii="宋体" w:hAnsi="宋体" w:eastAsia="宋体" w:cs="宋体"/>
                <w:b w:val="0"/>
                <w:bCs w:val="0"/>
                <w:i w:val="0"/>
                <w:iCs w:val="0"/>
                <w:color w:val="000000"/>
                <w:spacing w:val="0"/>
                <w:w w:val="100"/>
                <w:sz w:val="24"/>
                <w:szCs w:val="24"/>
                <w:vertAlign w:val="baseline"/>
              </w:rPr>
              <w:t>7435</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8981</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管理带量采购药品数（个）</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282</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349</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480" w:firstLineChars="200"/>
              <w:jc w:val="both"/>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药品采购金额（</w:t>
            </w: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万</w:t>
            </w:r>
            <w:r>
              <w:rPr>
                <w:rFonts w:hint="eastAsia" w:ascii="宋体" w:hAnsi="宋体" w:eastAsia="宋体" w:cs="宋体"/>
                <w:b w:val="0"/>
                <w:bCs w:val="0"/>
                <w:i w:val="0"/>
                <w:iCs w:val="0"/>
                <w:color w:val="000000"/>
                <w:spacing w:val="0"/>
                <w:w w:val="100"/>
                <w:sz w:val="24"/>
                <w:szCs w:val="24"/>
                <w:shd w:val="clear" w:color="auto" w:fill="auto"/>
                <w:vertAlign w:val="baseline"/>
              </w:rPr>
              <w:t>元）</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8199.34</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6999.68</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药品销售金额（</w:t>
            </w: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万</w:t>
            </w:r>
            <w:r>
              <w:rPr>
                <w:rFonts w:hint="eastAsia" w:ascii="宋体" w:hAnsi="宋体" w:eastAsia="宋体" w:cs="宋体"/>
                <w:b w:val="0"/>
                <w:bCs w:val="0"/>
                <w:i w:val="0"/>
                <w:iCs w:val="0"/>
                <w:color w:val="000000"/>
                <w:spacing w:val="0"/>
                <w:w w:val="100"/>
                <w:sz w:val="24"/>
                <w:szCs w:val="24"/>
                <w:shd w:val="clear" w:color="auto" w:fill="auto"/>
                <w:vertAlign w:val="baseline"/>
              </w:rPr>
              <w:t>元）</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8102.2</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7047.77</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both"/>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西药、中成药销售金额（</w:t>
            </w: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万</w:t>
            </w:r>
            <w:r>
              <w:rPr>
                <w:rFonts w:hint="eastAsia" w:ascii="宋体" w:hAnsi="宋体" w:eastAsia="宋体" w:cs="宋体"/>
                <w:b w:val="0"/>
                <w:bCs w:val="0"/>
                <w:i w:val="0"/>
                <w:iCs w:val="0"/>
                <w:color w:val="000000"/>
                <w:spacing w:val="0"/>
                <w:w w:val="100"/>
                <w:sz w:val="24"/>
                <w:szCs w:val="24"/>
                <w:shd w:val="clear" w:color="auto" w:fill="auto"/>
                <w:vertAlign w:val="baseline"/>
              </w:rPr>
              <w:t>元）</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7714.11</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6665.9</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中草药销售金额（</w:t>
            </w: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万</w:t>
            </w:r>
            <w:r>
              <w:rPr>
                <w:rFonts w:hint="eastAsia" w:ascii="宋体" w:hAnsi="宋体" w:eastAsia="宋体" w:cs="宋体"/>
                <w:b w:val="0"/>
                <w:bCs w:val="0"/>
                <w:i w:val="0"/>
                <w:iCs w:val="0"/>
                <w:color w:val="000000"/>
                <w:spacing w:val="0"/>
                <w:w w:val="100"/>
                <w:sz w:val="24"/>
                <w:szCs w:val="24"/>
                <w:shd w:val="clear" w:color="auto" w:fill="auto"/>
                <w:vertAlign w:val="baseline"/>
              </w:rPr>
              <w:t>元）</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388.09</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381.87</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中草药销售利润（</w:t>
            </w: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万</w:t>
            </w:r>
            <w:r>
              <w:rPr>
                <w:rFonts w:hint="eastAsia" w:ascii="宋体" w:hAnsi="宋体" w:eastAsia="宋体" w:cs="宋体"/>
                <w:b w:val="0"/>
                <w:bCs w:val="0"/>
                <w:i w:val="0"/>
                <w:iCs w:val="0"/>
                <w:color w:val="000000"/>
                <w:spacing w:val="0"/>
                <w:w w:val="100"/>
                <w:sz w:val="24"/>
                <w:szCs w:val="24"/>
                <w:shd w:val="clear" w:color="auto" w:fill="auto"/>
                <w:vertAlign w:val="baseline"/>
              </w:rPr>
              <w:t>元）</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63.6</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58.84</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sz w:val="24"/>
                <w:szCs w:val="24"/>
                <w:shd w:val="clear" w:color="auto" w:fill="auto"/>
              </w:rPr>
            </w:pPr>
            <w:r>
              <w:rPr>
                <w:rFonts w:hint="eastAsia" w:ascii="宋体" w:hAnsi="宋体" w:eastAsia="宋体" w:cs="宋体"/>
                <w:b w:val="0"/>
                <w:bCs w:val="0"/>
                <w:i w:val="0"/>
                <w:iCs w:val="0"/>
                <w:color w:val="000000"/>
                <w:spacing w:val="0"/>
                <w:w w:val="100"/>
                <w:sz w:val="24"/>
                <w:szCs w:val="24"/>
                <w:shd w:val="clear" w:color="auto" w:fill="auto"/>
                <w:vertAlign w:val="baseline"/>
              </w:rPr>
              <w:t>中药饮片煎药费（</w:t>
            </w: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万</w:t>
            </w:r>
            <w:r>
              <w:rPr>
                <w:rFonts w:hint="eastAsia" w:ascii="宋体" w:hAnsi="宋体" w:eastAsia="宋体" w:cs="宋体"/>
                <w:b w:val="0"/>
                <w:bCs w:val="0"/>
                <w:i w:val="0"/>
                <w:iCs w:val="0"/>
                <w:color w:val="000000"/>
                <w:spacing w:val="0"/>
                <w:w w:val="100"/>
                <w:sz w:val="24"/>
                <w:szCs w:val="24"/>
                <w:shd w:val="clear" w:color="auto" w:fill="auto"/>
                <w:vertAlign w:val="baseline"/>
              </w:rPr>
              <w:t>元）</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2.84</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3.99</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pP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基本药物品种占比（%）</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42.42</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42.54</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223" w:type="dxa"/>
            <w:tcBorders>
              <w:top w:val="single" w:color="auto" w:sz="4" w:space="0"/>
              <w:left w:val="single" w:color="auto" w:sz="4" w:space="0"/>
              <w:bottom w:val="single" w:color="auto" w:sz="4" w:space="0"/>
              <w:right w:val="single" w:color="auto" w:sz="4" w:space="0"/>
            </w:tcBorders>
            <w:shd w:val="clear" w:color="auto" w:fill="FFFFFF" w:themeFill="background1"/>
            <w:tcMar>
              <w:top w:w="0" w:type="dxa"/>
              <w:left w:w="108" w:type="dxa"/>
              <w:bottom w:w="0" w:type="dxa"/>
              <w:right w:w="108" w:type="dxa"/>
            </w:tcMar>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cente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pPr>
            <w:r>
              <w:rPr>
                <w:rFonts w:hint="eastAsia" w:ascii="宋体" w:hAnsi="宋体" w:eastAsia="宋体" w:cs="宋体"/>
                <w:b w:val="0"/>
                <w:bCs w:val="0"/>
                <w:i w:val="0"/>
                <w:iCs w:val="0"/>
                <w:color w:val="000000"/>
                <w:spacing w:val="0"/>
                <w:w w:val="100"/>
                <w:sz w:val="24"/>
                <w:szCs w:val="24"/>
                <w:shd w:val="clear" w:color="auto" w:fill="auto"/>
                <w:vertAlign w:val="baseline"/>
                <w:lang w:val="en-US" w:eastAsia="zh-CN"/>
              </w:rPr>
              <w:t>基本药物金额占比（%）</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27.49</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32.67</w:t>
            </w:r>
          </w:p>
        </w:tc>
        <w:tc>
          <w:tcPr>
            <w:tcW w:w="160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kinsoku/>
              <w:wordWrap/>
              <w:overflowPunct/>
              <w:topLinePunct w:val="0"/>
              <w:autoSpaceDE/>
              <w:autoSpaceDN/>
              <w:bidi w:val="0"/>
              <w:adjustRightInd/>
              <w:snapToGrid/>
              <w:spacing w:line="520" w:lineRule="exact"/>
              <w:ind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18.84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三、2024年度质控数据</w:t>
      </w:r>
    </w:p>
    <w:tbl>
      <w:tblPr>
        <w:tblStyle w:val="3"/>
        <w:tblW w:w="847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4"/>
        <w:gridCol w:w="2305"/>
        <w:gridCol w:w="1022"/>
        <w:gridCol w:w="1105"/>
        <w:gridCol w:w="1091"/>
        <w:gridCol w:w="1118"/>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7"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c>
          <w:tcPr>
            <w:tcW w:w="2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第一季度</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第二季度</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第三季度</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门、急诊处方审核率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静脉用药集中调配医嘱干预率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住院医嘱审核率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点评处方占比</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0.49%</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0.52%</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门诊处方合格率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ind w:firstLine="420" w:firstLineChars="200"/>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95.33%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ind w:firstLine="420" w:firstLineChars="20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点评病历占比</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ind w:firstLine="420" w:firstLineChars="200"/>
              <w:jc w:val="center"/>
              <w:rPr>
                <w:rFonts w:hint="eastAsia" w:ascii="宋体" w:hAnsi="宋体" w:eastAsia="宋体" w:cs="宋体"/>
                <w:i w:val="0"/>
                <w:iCs w:val="0"/>
                <w:color w:val="000000"/>
                <w:sz w:val="21"/>
                <w:szCs w:val="21"/>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20" w:lineRule="exact"/>
              <w:ind w:firstLine="420" w:firstLineChars="20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住院患者药学监护率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4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严重或新的药品不良反应上报率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住院患者抗菌药物使用率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住院患者抗菌药物使用强度</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63.61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67.244 </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59.591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63.401 </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6"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住院患者特殊使用级抗菌药物使用量占比</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I类切口手术抗菌药物预防使用率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17.87%</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3"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住院患者静脉输液使用率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97.87%</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97.72%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住院患者中药注射剂静脉输液使用率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15.92%</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13.49%</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急诊患者糖皮质激素静脉输液使用率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0.09%</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住院患者质子泵抑制剂注射剂静脉使用率</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9.71%</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w:t>
      </w:r>
      <w:r>
        <w:rPr>
          <w:rFonts w:hint="eastAsia" w:ascii="黑体" w:hAnsi="黑体" w:eastAsia="黑体" w:cs="黑体"/>
          <w:b w:val="0"/>
          <w:bCs w:val="0"/>
          <w:sz w:val="24"/>
          <w:szCs w:val="24"/>
          <w:lang w:val="en-US" w:eastAsia="zh-CN"/>
        </w:rPr>
        <w:t>组织召开了三期药事管理委员会议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1、通过了中药协定处方实施方案和37种中药协定处方。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2、通过新药遴选目录（共计48品规）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其中包含：国家谈判药18品规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国家集采药12品规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国家基本药物8品规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国家关于医保谈判药品目录落地执行文件，通过2023年-2024年国家医保谈判药品目录（化学药品、中成药、竞价药品）进入长期采购目录，将口服国谈药品有临床科室提出申请放入医疗保障局国家医保谈判药品双通道自助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根据医疗保障局关于2019年至今国家集采药品目录实施方案的要求，对所有国家集采药品目录，河北省集采药品目录，中成药集采药品目录等直接进入我院长期采购目录，鼓励临床科室首先选用国家集采药品目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5、根据《河北省卫健委关于进一步加强创新药推广应用的通知》，通过文件提出21种创新药品进入我院长期采购目录。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五、药品配送公司变更情况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1、新开户：天津赛德科技有限公司（粒子）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国药乐仁堂医药有限公司（肉毒素）</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更名：美康永正医药有限公司更名为通用技术集团永正医药秦皇岛有限公司。</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临床药学服务</w:t>
      </w:r>
    </w:p>
    <w:p>
      <w:pPr>
        <w:keepNext w:val="0"/>
        <w:keepLines w:val="0"/>
        <w:pageBreakBefore w:val="0"/>
        <w:widowControl w:val="0"/>
        <w:numPr>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shd w:val="clear" w:fill="FFFFFF"/>
          <w:lang w:val="en-US" w:eastAsia="zh-CN"/>
        </w:rPr>
      </w:pPr>
      <w:r>
        <w:rPr>
          <w:rFonts w:hint="eastAsia" w:ascii="宋体" w:hAnsi="宋体" w:eastAsia="宋体" w:cs="宋体"/>
          <w:b w:val="0"/>
          <w:bCs w:val="0"/>
          <w:sz w:val="24"/>
          <w:szCs w:val="24"/>
          <w:shd w:val="clear" w:fill="FFFFFF"/>
          <w:lang w:val="en-US" w:eastAsia="zh-CN"/>
        </w:rPr>
        <w:t>在院领导的大力支持下，一名临床药师完成进修后正式开始临床药学相关工作(包括：按时考核临床科室抗菌药物合理应用；参与查房、开展药学讲座等)，使药剂科临床药学工作从零到有。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七、2025年工作计划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b w:val="0"/>
          <w:bCs w:val="0"/>
          <w:sz w:val="24"/>
          <w:szCs w:val="24"/>
          <w:lang w:val="en-US" w:eastAsia="zh-CN"/>
        </w:rPr>
      </w:pPr>
      <w:r>
        <w:rPr>
          <w:rFonts w:hint="eastAsia" w:ascii="宋体" w:hAnsi="宋体" w:eastAsia="宋体" w:cs="宋体"/>
          <w:sz w:val="24"/>
          <w:szCs w:val="24"/>
          <w:shd w:val="clear" w:fill="FFFFFF"/>
          <w:lang w:eastAsia="zh-CN"/>
        </w:rPr>
        <w:t>未来一年，我科将在院领导的带领下，稳扎稳打，不断开拓创新，积极探索实践，继续与医务科、护理部、质控办及各临床科室等密切合作，做好以下工作：</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继续做好新药遴选工作，进一步规范药品遴选和新药引进流程。</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做好药品动态预警监测工作。</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每季度做好药学质控指标监测。</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每季度做好抗菌药DDD值监测。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shd w:val="clear" w:fill="FFFFFF"/>
          <w:lang w:eastAsia="zh-CN"/>
        </w:rPr>
      </w:pPr>
      <w:r>
        <w:rPr>
          <w:rFonts w:hint="eastAsia" w:ascii="宋体" w:hAnsi="宋体" w:eastAsia="宋体" w:cs="宋体"/>
          <w:sz w:val="24"/>
          <w:szCs w:val="24"/>
          <w:shd w:val="clear" w:fill="FFFFFF"/>
          <w:lang w:val="en-US" w:eastAsia="zh-CN"/>
        </w:rPr>
        <w:t>5、</w:t>
      </w:r>
      <w:r>
        <w:rPr>
          <w:rFonts w:hint="eastAsia" w:ascii="宋体" w:hAnsi="宋体" w:eastAsia="宋体" w:cs="宋体"/>
          <w:sz w:val="24"/>
          <w:szCs w:val="24"/>
          <w:shd w:val="clear" w:fill="FFFFFF"/>
        </w:rPr>
        <w:t>加强基本药物应用，优先采购基本药物，提倡临床医师优先应用国家基本药物</w:t>
      </w:r>
      <w:r>
        <w:rPr>
          <w:rFonts w:hint="eastAsia" w:ascii="宋体" w:hAnsi="宋体" w:eastAsia="宋体" w:cs="宋体"/>
          <w:sz w:val="24"/>
          <w:szCs w:val="24"/>
          <w:shd w:val="clear"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6、加强特殊药品的管理，严格执行特殊药品全流程管理，严防特殊药品的滥用和流失。</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shd w:val="clear" w:fill="FFFFFF"/>
          <w:lang w:val="en-US" w:eastAsia="zh-CN"/>
        </w:rPr>
      </w:pPr>
      <w:r>
        <w:rPr>
          <w:rFonts w:hint="eastAsia" w:ascii="宋体" w:hAnsi="宋体" w:eastAsia="宋体" w:cs="宋体"/>
          <w:sz w:val="24"/>
          <w:szCs w:val="24"/>
          <w:shd w:val="clear" w:fill="FFFFFF"/>
          <w:lang w:val="en-US" w:eastAsia="zh-CN"/>
        </w:rPr>
        <w:t>7、制定临床药学工作制度和年度工作目标，加强临床药学工作开展的深度，把工作制度化、运作程序化，职责明确化。</w:t>
      </w:r>
    </w:p>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eastAsia="宋体" w:cs="宋体"/>
          <w:sz w:val="24"/>
          <w:szCs w:val="24"/>
          <w:shd w:val="clear" w:fill="FFFFFF"/>
          <w:lang w:val="en-US" w:eastAsia="zh-CN"/>
        </w:rPr>
      </w:pPr>
      <w:bookmarkStart w:id="0" w:name="_GoBack"/>
      <w:bookmarkEnd w:id="0"/>
      <w:r>
        <w:rPr>
          <w:rFonts w:hint="eastAsia" w:ascii="宋体" w:hAnsi="宋体" w:eastAsia="宋体" w:cs="宋体"/>
          <w:sz w:val="24"/>
          <w:szCs w:val="24"/>
          <w:shd w:val="clear" w:fill="FFFFFF"/>
          <w:lang w:val="en-US" w:eastAsia="zh-CN"/>
        </w:rPr>
        <w:t>勇毅前行创佳绩，初心如磐启新程！新的一年，我们相信在院领导的带领下，药剂科一定能携手并进，凝心聚力，发挥自身更大价值，为患者健康保驾护航！</w:t>
      </w:r>
    </w:p>
    <w:sectPr>
      <w:pgSz w:w="11906" w:h="16838"/>
      <w:pgMar w:top="1270" w:right="146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2000000000000000000"/>
    <w:charset w:val="86"/>
    <w:family w:val="auto"/>
    <w:pitch w:val="default"/>
    <w:sig w:usb0="00000000" w:usb1="00000000" w:usb2="00082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FE029"/>
    <w:multiLevelType w:val="singleLevel"/>
    <w:tmpl w:val="BE1FE029"/>
    <w:lvl w:ilvl="0" w:tentative="0">
      <w:start w:val="1"/>
      <w:numFmt w:val="decimal"/>
      <w:suff w:val="nothing"/>
      <w:lvlText w:val="%1、"/>
      <w:lvlJc w:val="left"/>
    </w:lvl>
  </w:abstractNum>
  <w:abstractNum w:abstractNumId="1">
    <w:nsid w:val="0E4C4D00"/>
    <w:multiLevelType w:val="singleLevel"/>
    <w:tmpl w:val="0E4C4D00"/>
    <w:lvl w:ilvl="0" w:tentative="0">
      <w:start w:val="2"/>
      <w:numFmt w:val="decimal"/>
      <w:suff w:val="nothing"/>
      <w:lvlText w:val="%1、"/>
      <w:lvlJc w:val="left"/>
    </w:lvl>
  </w:abstractNum>
  <w:abstractNum w:abstractNumId="2">
    <w:nsid w:val="17DD5E1A"/>
    <w:multiLevelType w:val="singleLevel"/>
    <w:tmpl w:val="17DD5E1A"/>
    <w:lvl w:ilvl="0" w:tentative="0">
      <w:start w:val="1"/>
      <w:numFmt w:val="decimal"/>
      <w:suff w:val="nothing"/>
      <w:lvlText w:val="%1、"/>
      <w:lvlJc w:val="left"/>
    </w:lvl>
  </w:abstractNum>
  <w:abstractNum w:abstractNumId="3">
    <w:nsid w:val="20A129D6"/>
    <w:multiLevelType w:val="singleLevel"/>
    <w:tmpl w:val="20A129D6"/>
    <w:lvl w:ilvl="0" w:tentative="0">
      <w:start w:val="1"/>
      <w:numFmt w:val="chineseCounting"/>
      <w:suff w:val="nothing"/>
      <w:lvlText w:val="%1、"/>
      <w:lvlJc w:val="left"/>
      <w:rPr>
        <w:rFonts w:hint="eastAsia"/>
      </w:rPr>
    </w:lvl>
  </w:abstractNum>
  <w:abstractNum w:abstractNumId="4">
    <w:nsid w:val="33D1EBBB"/>
    <w:multiLevelType w:val="singleLevel"/>
    <w:tmpl w:val="33D1EBBB"/>
    <w:lvl w:ilvl="0" w:tentative="0">
      <w:start w:val="6"/>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ZTMwODUyZjcxMGI4Zjk5N2YxY2NmODA5MWYyOWQifQ=="/>
  </w:docVars>
  <w:rsids>
    <w:rsidRoot w:val="0AED4D2F"/>
    <w:rsid w:val="01A5524A"/>
    <w:rsid w:val="031C4D1D"/>
    <w:rsid w:val="0AED4D2F"/>
    <w:rsid w:val="27617B50"/>
    <w:rsid w:val="322D00CA"/>
    <w:rsid w:val="382353CC"/>
    <w:rsid w:val="3A5A623A"/>
    <w:rsid w:val="3B1748DD"/>
    <w:rsid w:val="426940BE"/>
    <w:rsid w:val="5CD62468"/>
    <w:rsid w:val="676F376C"/>
    <w:rsid w:val="773E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1592</Words>
  <Characters>2080</Characters>
  <Lines>0</Lines>
  <Paragraphs>0</Paragraphs>
  <TotalTime>12</TotalTime>
  <ScaleCrop>false</ScaleCrop>
  <LinksUpToDate>false</LinksUpToDate>
  <CharactersWithSpaces>2106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2025-01-14T03:19:00Z</dcterms:created>
  <dc:creator>栀</dc:creator>
  <cp:lastModifiedBy>Administrator</cp:lastModifiedBy>
  <dcterms:modified xsi:type="dcterms:W3CDTF">2025-01-20T02:10:35Z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AE216C863242471C8E24A3BCD58AADDB_11</vt:lpwstr>
  </property>
  <property fmtid="{D5CDD505-2E9C-101B-9397-08002B2CF9AE}" pid="4" name="KSOTemplateDocerSaveRecord">
    <vt:lpwstr>eyJoZGlkIjoiMTdmYmYzY2FiYmU4ZmY4OWYwNjcxZGYxZTJkMTQ5YTAifQ==</vt:lpwstr>
  </property>
</Properties>
</file>