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2024年第四季度抗菌药物使用情况及专项点评报告</w:t>
      </w:r>
    </w:p>
    <w:p>
      <w:pPr>
        <w:numPr>
          <w:ilvl w:val="0"/>
          <w:numId w:val="0"/>
        </w:numPr>
        <w:spacing w:line="360" w:lineRule="auto"/>
        <w:jc w:val="righ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——药剂科临床药学室</w:t>
      </w:r>
    </w:p>
    <w:p>
      <w:pPr>
        <w:numPr>
          <w:ilvl w:val="0"/>
          <w:numId w:val="1"/>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抗菌药物使用情况</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1.抗菌药物使用率、使用强度</w:t>
      </w:r>
    </w:p>
    <w:p>
      <w:pPr>
        <w:numPr>
          <w:ilvl w:val="0"/>
          <w:numId w:val="0"/>
        </w:numPr>
        <w:spacing w:line="360" w:lineRule="auto"/>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2024全年及各季度全院各科室抗菌药物使用率和使用强度如下表，国家要求住院患者抗菌药物使用率不超过60%，使用强度不超过40。全院抗菌药物使用率52.21%，符合国家要求；全院抗菌药物使用</w:t>
      </w:r>
      <w:bookmarkStart w:id="0" w:name="_GoBack"/>
      <w:bookmarkEnd w:id="0"/>
      <w:r>
        <w:rPr>
          <w:rFonts w:hint="eastAsia" w:ascii="宋体" w:hAnsi="宋体" w:eastAsia="宋体" w:cs="宋体"/>
          <w:b w:val="0"/>
          <w:bCs w:val="0"/>
          <w:sz w:val="24"/>
          <w:szCs w:val="24"/>
          <w:lang w:val="en-US" w:eastAsia="zh-CN"/>
        </w:rPr>
        <w:t>强度为63.61，虽然比2023年下降25%，仍超出国家指标，结合我院实际制定了抗菌药物使用强度责任指标和专项考核办法，望各临床科室严格把握抗菌药物使用指征，提高用药合理性，职能科室加强督导和管控，共同努力将该项指标降低至合理水平。</w:t>
      </w:r>
    </w:p>
    <w:p>
      <w:pPr>
        <w:numPr>
          <w:ilvl w:val="0"/>
          <w:numId w:val="0"/>
        </w:num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表</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2024年度全院各科室抗菌药使用率和使用强度</w:t>
      </w:r>
    </w:p>
    <w:p>
      <w:pPr>
        <w:widowControl w:val="0"/>
        <w:numPr>
          <w:ilvl w:val="0"/>
          <w:numId w:val="0"/>
        </w:numPr>
        <w:spacing w:line="360" w:lineRule="auto"/>
        <w:jc w:val="both"/>
      </w:pPr>
      <w:r>
        <w:drawing>
          <wp:inline distT="0" distB="0" distL="114300" distR="114300">
            <wp:extent cx="6085205" cy="4091940"/>
            <wp:effectExtent l="0" t="0" r="1079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085205" cy="4091940"/>
                    </a:xfrm>
                    <a:prstGeom prst="rect">
                      <a:avLst/>
                    </a:prstGeom>
                    <a:noFill/>
                    <a:ln>
                      <a:noFill/>
                    </a:ln>
                  </pic:spPr>
                </pic:pic>
              </a:graphicData>
            </a:graphic>
          </wp:inline>
        </w:drawing>
      </w:r>
    </w:p>
    <w:p>
      <w:pPr>
        <w:widowControl w:val="0"/>
        <w:numPr>
          <w:ilvl w:val="0"/>
          <w:numId w:val="2"/>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各科室抗菌药物使用强度</w:t>
      </w:r>
    </w:p>
    <w:p>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为2024全年各科室抗菌药物使用强度对比图，图2为2024年第四季度各科室抗菌药物使用强度对比图，红色横线为国家指标，绿色柱状图的科室为达标科室，蓝色的为超标科室。根据近期临床药学重点科室及重点药品的专项点评发现的问题，建议各临床科室严格把握抗菌药物使用指征，减少不必要的联合用药，规范抗菌药的用法用量，从而减少抗菌药物使用，缩短使用疗程，缩短住院时间，减少药品费用占比，提高医疗服务收入占比。</w:t>
      </w:r>
    </w:p>
    <w:p>
      <w:pPr>
        <w:widowControl w:val="0"/>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图1</w:t>
      </w:r>
    </w:p>
    <w:p>
      <w:pPr>
        <w:widowControl w:val="0"/>
        <w:numPr>
          <w:ilvl w:val="0"/>
          <w:numId w:val="0"/>
        </w:numPr>
        <w:spacing w:line="360" w:lineRule="auto"/>
        <w:jc w:val="both"/>
      </w:pPr>
      <w:r>
        <w:drawing>
          <wp:inline distT="0" distB="0" distL="114300" distR="114300">
            <wp:extent cx="5271770" cy="3852545"/>
            <wp:effectExtent l="0" t="0" r="5080"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71770" cy="3852545"/>
                    </a:xfrm>
                    <a:prstGeom prst="rect">
                      <a:avLst/>
                    </a:prstGeom>
                    <a:noFill/>
                    <a:ln>
                      <a:noFill/>
                    </a:ln>
                  </pic:spPr>
                </pic:pic>
              </a:graphicData>
            </a:graphic>
          </wp:inline>
        </w:drawing>
      </w:r>
    </w:p>
    <w:p>
      <w:pPr>
        <w:widowControl w:val="0"/>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图2</w:t>
      </w:r>
    </w:p>
    <w:p>
      <w:pPr>
        <w:widowControl w:val="0"/>
        <w:numPr>
          <w:ilvl w:val="0"/>
          <w:numId w:val="0"/>
        </w:numPr>
        <w:spacing w:line="360" w:lineRule="auto"/>
        <w:jc w:val="center"/>
        <w:rPr>
          <w:rFonts w:hint="eastAsia"/>
          <w:b/>
          <w:bCs/>
          <w:sz w:val="28"/>
          <w:szCs w:val="28"/>
          <w:lang w:eastAsia="zh-CN"/>
        </w:rPr>
      </w:pPr>
      <w:r>
        <w:drawing>
          <wp:inline distT="0" distB="0" distL="114300" distR="114300">
            <wp:extent cx="5268595" cy="3744595"/>
            <wp:effectExtent l="0" t="0" r="825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8595" cy="3744595"/>
                    </a:xfrm>
                    <a:prstGeom prst="rect">
                      <a:avLst/>
                    </a:prstGeom>
                    <a:noFill/>
                    <a:ln>
                      <a:noFill/>
                    </a:ln>
                  </pic:spPr>
                </pic:pic>
              </a:graphicData>
            </a:graphic>
          </wp:inline>
        </w:drawing>
      </w:r>
    </w:p>
    <w:p>
      <w:pPr>
        <w:widowControl w:val="0"/>
        <w:numPr>
          <w:ilvl w:val="0"/>
          <w:numId w:val="0"/>
        </w:numPr>
        <w:spacing w:line="360" w:lineRule="auto"/>
        <w:jc w:val="both"/>
        <w:rPr>
          <w:rFonts w:hint="eastAsia"/>
          <w:lang w:eastAsia="zh-CN"/>
        </w:rPr>
      </w:pPr>
    </w:p>
    <w:p>
      <w:pPr>
        <w:numPr>
          <w:ilvl w:val="0"/>
          <w:numId w:val="1"/>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重点科室抗菌药物医嘱点评</w:t>
      </w:r>
    </w:p>
    <w:p>
      <w:pPr>
        <w:numPr>
          <w:ilvl w:val="0"/>
          <w:numId w:val="0"/>
        </w:numPr>
        <w:spacing w:line="360" w:lineRule="auto"/>
        <w:ind w:firstLine="482" w:firstLineChars="200"/>
        <w:rPr>
          <w:rFonts w:hint="eastAsia" w:ascii="宋体" w:hAnsi="宋体" w:eastAsia="宋体" w:cs="宋体"/>
          <w:bCs/>
          <w:color w:val="000000"/>
          <w:sz w:val="24"/>
          <w:szCs w:val="24"/>
          <w:lang w:eastAsia="zh-CN"/>
        </w:rPr>
      </w:pPr>
      <w:r>
        <w:rPr>
          <w:rFonts w:hint="eastAsia" w:ascii="宋体" w:hAnsi="宋体" w:eastAsia="宋体" w:cs="宋体"/>
          <w:b/>
          <w:bCs/>
          <w:sz w:val="24"/>
          <w:szCs w:val="24"/>
          <w:lang w:val="en-US" w:eastAsia="zh-CN"/>
        </w:rPr>
        <w:t>1.点评科室：</w:t>
      </w:r>
      <w:r>
        <w:rPr>
          <w:rFonts w:hint="eastAsia" w:ascii="宋体" w:hAnsi="宋体" w:eastAsia="宋体" w:cs="宋体"/>
          <w:sz w:val="24"/>
          <w:szCs w:val="24"/>
          <w:lang w:val="en-US" w:eastAsia="zh-CN"/>
        </w:rPr>
        <w:t>从合理用药系统中监测到，外二科第四季度的抗菌药物使用强度为104.17，远超于国家抗菌药物使用强度指标40，因此为了找到该科室超标原因，临床药学对该科室</w:t>
      </w:r>
      <w:r>
        <w:rPr>
          <w:rFonts w:hint="eastAsia" w:ascii="宋体" w:hAnsi="宋体" w:eastAsia="宋体" w:cs="宋体"/>
          <w:bCs/>
          <w:color w:val="000000"/>
          <w:sz w:val="24"/>
          <w:szCs w:val="24"/>
          <w:lang w:eastAsia="zh-CN"/>
        </w:rPr>
        <w:t>抗菌药物医嘱进行了合理性评价。</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2.抽样方法：</w:t>
      </w:r>
      <w:r>
        <w:rPr>
          <w:rFonts w:hint="eastAsia" w:ascii="宋体" w:hAnsi="宋体" w:eastAsia="宋体" w:cs="宋体"/>
          <w:sz w:val="24"/>
          <w:szCs w:val="24"/>
          <w:lang w:val="en-US" w:eastAsia="zh-CN"/>
        </w:rPr>
        <w:t>随机抽取12月份在院病例</w:t>
      </w:r>
      <w:r>
        <w:rPr>
          <w:rFonts w:hint="eastAsia" w:ascii="宋体" w:hAnsi="宋体" w:eastAsia="宋体" w:cs="宋体"/>
          <w:bCs/>
          <w:color w:val="000000"/>
          <w:sz w:val="24"/>
          <w:szCs w:val="24"/>
        </w:rPr>
        <w:t>4份及出院病</w:t>
      </w:r>
      <w:r>
        <w:rPr>
          <w:rFonts w:hint="eastAsia" w:ascii="宋体" w:hAnsi="宋体" w:eastAsia="宋体" w:cs="宋体"/>
          <w:sz w:val="24"/>
          <w:szCs w:val="24"/>
          <w:lang w:val="en-US" w:eastAsia="zh-CN"/>
        </w:rPr>
        <w:t>例2份，其中5份病历使用了抗菌药物，使用率为83.3%。</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
          <w:bCs w:val="0"/>
          <w:color w:val="000000"/>
          <w:sz w:val="24"/>
          <w:szCs w:val="24"/>
          <w:lang w:val="en-US" w:eastAsia="zh-CN"/>
        </w:rPr>
        <w:t>3.评价依据：</w:t>
      </w:r>
      <w:r>
        <w:rPr>
          <w:rFonts w:hint="eastAsia" w:ascii="宋体" w:hAnsi="宋体" w:eastAsia="宋体" w:cs="宋体"/>
          <w:bCs/>
          <w:kern w:val="0"/>
          <w:sz w:val="24"/>
          <w:szCs w:val="24"/>
        </w:rPr>
        <w:t>《国家抗微生物治疗指南（第3版）》</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《抗菌药物临床应用指导原则》（2015版）</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药品说明书。</w:t>
      </w:r>
    </w:p>
    <w:p>
      <w:pPr>
        <w:pStyle w:val="4"/>
        <w:spacing w:line="360" w:lineRule="auto"/>
        <w:ind w:firstLine="482" w:firstLineChars="200"/>
        <w:rPr>
          <w:rFonts w:ascii="宋体" w:hAnsi="宋体"/>
          <w:b/>
          <w:sz w:val="24"/>
          <w:szCs w:val="24"/>
        </w:rPr>
      </w:pPr>
      <w:r>
        <w:rPr>
          <w:rFonts w:hint="eastAsia" w:ascii="宋体" w:hAnsi="宋体" w:eastAsia="宋体" w:cs="宋体"/>
          <w:b/>
          <w:bCs w:val="0"/>
          <w:kern w:val="0"/>
          <w:sz w:val="24"/>
          <w:szCs w:val="24"/>
          <w:lang w:val="en-US" w:eastAsia="zh-CN"/>
        </w:rPr>
        <w:t>4.</w:t>
      </w:r>
      <w:r>
        <w:rPr>
          <w:rFonts w:ascii="宋体" w:hAnsi="宋体"/>
          <w:b/>
          <w:sz w:val="24"/>
          <w:szCs w:val="24"/>
        </w:rPr>
        <w:t>不合理用药情况</w:t>
      </w:r>
    </w:p>
    <w:tbl>
      <w:tblPr>
        <w:tblStyle w:val="2"/>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93"/>
        <w:gridCol w:w="1701"/>
        <w:gridCol w:w="1504"/>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shd w:val="clear" w:color="auto" w:fill="auto"/>
            <w:noWrap w:val="0"/>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科室</w:t>
            </w:r>
          </w:p>
        </w:tc>
        <w:tc>
          <w:tcPr>
            <w:tcW w:w="993" w:type="dxa"/>
            <w:shd w:val="clear" w:color="auto" w:fill="auto"/>
            <w:noWrap w:val="0"/>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病例号</w:t>
            </w:r>
          </w:p>
        </w:tc>
        <w:tc>
          <w:tcPr>
            <w:tcW w:w="1701" w:type="dxa"/>
            <w:shd w:val="clear" w:color="auto" w:fill="auto"/>
            <w:noWrap w:val="0"/>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诊断</w:t>
            </w:r>
          </w:p>
        </w:tc>
        <w:tc>
          <w:tcPr>
            <w:tcW w:w="1504" w:type="dxa"/>
            <w:shd w:val="clear" w:color="auto" w:fill="auto"/>
            <w:noWrap w:val="0"/>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药品名称</w:t>
            </w:r>
          </w:p>
        </w:tc>
        <w:tc>
          <w:tcPr>
            <w:tcW w:w="4097" w:type="dxa"/>
            <w:shd w:val="clear" w:color="auto" w:fill="auto"/>
            <w:noWrap w:val="0"/>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不合理情况说明/说明书适应症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8" w:hRule="atLeast"/>
          <w:jc w:val="center"/>
        </w:trPr>
        <w:tc>
          <w:tcPr>
            <w:tcW w:w="1117"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外二科</w:t>
            </w:r>
          </w:p>
        </w:tc>
        <w:tc>
          <w:tcPr>
            <w:tcW w:w="993"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426445</w:t>
            </w:r>
          </w:p>
        </w:tc>
        <w:tc>
          <w:tcPr>
            <w:tcW w:w="1701"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心脏搭桥术后</w:t>
            </w:r>
          </w:p>
        </w:tc>
        <w:tc>
          <w:tcPr>
            <w:tcW w:w="1504"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注射用头孢曲松2g bid</w:t>
            </w:r>
          </w:p>
        </w:tc>
        <w:tc>
          <w:tcPr>
            <w:tcW w:w="4097" w:type="dxa"/>
            <w:shd w:val="clear" w:color="auto" w:fill="auto"/>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患者，女，65岁，心脏搭桥术后6天入院。入院后实验室检查，C反应蛋白75.87mg/L，中性粒细胞百分比74.0%，血沉 94。胸部正中切口少量渗液，予</w:t>
            </w:r>
            <w:r>
              <w:rPr>
                <w:rFonts w:hint="eastAsia" w:ascii="宋体" w:hAnsi="宋体" w:eastAsia="宋体" w:cs="宋体"/>
                <w:b/>
                <w:sz w:val="24"/>
                <w:szCs w:val="24"/>
              </w:rPr>
              <w:t>头孢曲松</w:t>
            </w:r>
            <w:r>
              <w:rPr>
                <w:rFonts w:hint="eastAsia" w:ascii="宋体" w:hAnsi="宋体" w:eastAsia="宋体" w:cs="宋体"/>
                <w:sz w:val="24"/>
                <w:szCs w:val="24"/>
              </w:rPr>
              <w:t>2.0g 静点 2/日抗感染治疗。头孢曲松因其半衰期长达8小时，且药品说明书中建议每天一次给药，给药剂量1-2g。依据《医院处方点评管理规范（试行）》，该医嘱</w:t>
            </w:r>
            <w:r>
              <w:rPr>
                <w:rFonts w:hint="eastAsia" w:ascii="宋体" w:hAnsi="宋体" w:eastAsia="宋体" w:cs="宋体"/>
                <w:b/>
                <w:sz w:val="24"/>
                <w:szCs w:val="24"/>
              </w:rPr>
              <w:t>用法用量不适宜</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117"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外二科</w:t>
            </w:r>
          </w:p>
        </w:tc>
        <w:tc>
          <w:tcPr>
            <w:tcW w:w="993"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432250</w:t>
            </w:r>
          </w:p>
        </w:tc>
        <w:tc>
          <w:tcPr>
            <w:tcW w:w="1701" w:type="dxa"/>
            <w:shd w:val="clear" w:color="auto" w:fill="auto"/>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肺部阴影</w:t>
            </w:r>
          </w:p>
        </w:tc>
        <w:tc>
          <w:tcPr>
            <w:tcW w:w="1504"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注射用头孢曲松2g bid</w:t>
            </w:r>
          </w:p>
        </w:tc>
        <w:tc>
          <w:tcPr>
            <w:tcW w:w="4097" w:type="dxa"/>
            <w:shd w:val="clear" w:color="auto" w:fill="auto"/>
            <w:noWrap w:val="0"/>
            <w:vAlign w:val="center"/>
          </w:tcPr>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患者，女，51岁，胸部CT检查，发现右肺上叶前段实性结节，大小约13mm*9mm。患者肺部阴影，根据影像学考虑恶性可能性大，于12-27行胸腔镜下肺段切除术。术后患者诉切口疼痛，有咳嗽，咳少量铁锈色粘痰，予</w:t>
            </w:r>
            <w:r>
              <w:rPr>
                <w:rFonts w:hint="eastAsia" w:ascii="宋体" w:hAnsi="宋体" w:eastAsia="宋体" w:cs="宋体"/>
                <w:b/>
                <w:sz w:val="24"/>
                <w:szCs w:val="24"/>
              </w:rPr>
              <w:t>头孢曲松</w:t>
            </w:r>
            <w:r>
              <w:rPr>
                <w:rFonts w:hint="eastAsia" w:ascii="宋体" w:hAnsi="宋体" w:eastAsia="宋体" w:cs="宋体"/>
                <w:sz w:val="24"/>
                <w:szCs w:val="24"/>
              </w:rPr>
              <w:t>2.0g 静点 2/日抗感染治疗。头孢曲松因其半衰期长达8小时，且药品说明书中建议每天一次给药，给药剂量1-2g。依据《医院处方点评管理规范（试行）》，该医嘱</w:t>
            </w:r>
            <w:r>
              <w:rPr>
                <w:rFonts w:hint="eastAsia" w:ascii="宋体" w:hAnsi="宋体" w:eastAsia="宋体" w:cs="宋体"/>
                <w:b/>
                <w:sz w:val="24"/>
                <w:szCs w:val="24"/>
              </w:rPr>
              <w:t>用法用量不适宜</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5" w:hRule="atLeast"/>
          <w:jc w:val="center"/>
        </w:trPr>
        <w:tc>
          <w:tcPr>
            <w:tcW w:w="1117"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外二科</w:t>
            </w:r>
          </w:p>
        </w:tc>
        <w:tc>
          <w:tcPr>
            <w:tcW w:w="993"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432376</w:t>
            </w:r>
          </w:p>
        </w:tc>
        <w:tc>
          <w:tcPr>
            <w:tcW w:w="1701"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背部肿物</w:t>
            </w:r>
          </w:p>
        </w:tc>
        <w:tc>
          <w:tcPr>
            <w:tcW w:w="1504" w:type="dxa"/>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注射用头孢曲松钠2g bid </w:t>
            </w:r>
          </w:p>
        </w:tc>
        <w:tc>
          <w:tcPr>
            <w:tcW w:w="4097" w:type="dxa"/>
            <w:shd w:val="clear" w:color="auto" w:fill="auto"/>
            <w:noWrap w:val="0"/>
            <w:vAlign w:val="center"/>
          </w:tcPr>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患者，男，60岁。主因“背部肿物”入院，在局麻下行皮肤和皮下组织切开引流术。术后给予头孢曲松2g bid抗感染治疗。该病例中用药存在问题：1.该患者术后实验室检查：白细胞6.21*10</w:t>
            </w:r>
            <w:r>
              <w:rPr>
                <w:rFonts w:hint="eastAsia" w:ascii="宋体" w:hAnsi="宋体" w:eastAsia="宋体" w:cs="宋体"/>
                <w:sz w:val="24"/>
                <w:szCs w:val="24"/>
                <w:vertAlign w:val="superscript"/>
              </w:rPr>
              <w:t>9</w:t>
            </w:r>
            <w:r>
              <w:rPr>
                <w:rFonts w:hint="eastAsia" w:ascii="宋体" w:hAnsi="宋体" w:eastAsia="宋体" w:cs="宋体"/>
                <w:sz w:val="24"/>
                <w:szCs w:val="24"/>
              </w:rPr>
              <w:t>/L，中性粒细胞百分比64.9%正常，C反应蛋白3.03mg/L正常。患者诉切口疼痛，可耐受，无寒战、发热，无咳嗽、咳痰。结合患者体征及实验室检查，未找到抗菌药物使用指征。2. 头孢曲松因其半衰期长达8小时，且药品说明书中建议每天一次给药，给药剂量1-2g。依据《医院处方点评管理规范（试行）》，该医嘱</w:t>
            </w:r>
            <w:r>
              <w:rPr>
                <w:rFonts w:hint="eastAsia" w:ascii="宋体" w:hAnsi="宋体" w:eastAsia="宋体" w:cs="宋体"/>
                <w:b/>
                <w:sz w:val="24"/>
                <w:szCs w:val="24"/>
              </w:rPr>
              <w:t>适应症不适宜、用法用量不适宜</w:t>
            </w:r>
            <w:r>
              <w:rPr>
                <w:rFonts w:hint="eastAsia" w:ascii="宋体" w:hAnsi="宋体" w:eastAsia="宋体" w:cs="宋体"/>
                <w:sz w:val="24"/>
                <w:szCs w:val="24"/>
              </w:rPr>
              <w:t xml:space="preserve">。 </w:t>
            </w:r>
          </w:p>
        </w:tc>
      </w:tr>
    </w:tbl>
    <w:p>
      <w:pPr>
        <w:spacing w:line="360" w:lineRule="auto"/>
        <w:jc w:val="left"/>
        <w:rPr>
          <w:rFonts w:ascii="宋体" w:hAnsi="宋体"/>
          <w:b/>
          <w:bCs/>
          <w:sz w:val="24"/>
          <w:szCs w:val="24"/>
        </w:rPr>
      </w:pPr>
      <w:r>
        <w:rPr>
          <w:rFonts w:hint="eastAsia" w:ascii="宋体" w:hAnsi="宋体"/>
          <w:b/>
          <w:bCs/>
          <w:sz w:val="24"/>
          <w:szCs w:val="24"/>
          <w:lang w:val="en-US" w:eastAsia="zh-CN"/>
        </w:rPr>
        <w:t>4.</w:t>
      </w:r>
      <w:r>
        <w:rPr>
          <w:rFonts w:ascii="宋体" w:hAnsi="宋体"/>
          <w:b/>
          <w:bCs/>
          <w:sz w:val="24"/>
          <w:szCs w:val="24"/>
        </w:rPr>
        <w:t>改进措施及建议</w:t>
      </w:r>
    </w:p>
    <w:p>
      <w:pPr>
        <w:pStyle w:val="4"/>
        <w:spacing w:line="360" w:lineRule="auto"/>
        <w:ind w:firstLine="480"/>
        <w:rPr>
          <w:rFonts w:ascii="宋体" w:hAnsi="宋体"/>
          <w:sz w:val="24"/>
          <w:szCs w:val="24"/>
        </w:rPr>
      </w:pPr>
      <w:r>
        <w:rPr>
          <w:rFonts w:ascii="宋体" w:hAnsi="宋体"/>
          <w:sz w:val="24"/>
          <w:szCs w:val="24"/>
        </w:rPr>
        <w:t>从此次点评结果来看，不合理医嘱</w:t>
      </w:r>
      <w:r>
        <w:rPr>
          <w:rFonts w:hint="eastAsia" w:ascii="宋体" w:hAnsi="宋体"/>
          <w:sz w:val="24"/>
          <w:szCs w:val="24"/>
        </w:rPr>
        <w:t>主要为适应症不适宜，用法用量不适宜。</w:t>
      </w:r>
    </w:p>
    <w:p>
      <w:pPr>
        <w:spacing w:line="360" w:lineRule="auto"/>
        <w:ind w:firstLine="480" w:firstLineChars="200"/>
        <w:rPr>
          <w:rFonts w:ascii="宋体" w:hAnsi="宋体"/>
          <w:sz w:val="24"/>
          <w:szCs w:val="24"/>
        </w:rPr>
      </w:pPr>
      <w:r>
        <w:rPr>
          <w:rFonts w:ascii="宋体" w:hAnsi="宋体"/>
          <w:sz w:val="24"/>
          <w:szCs w:val="24"/>
        </w:rPr>
        <w:t>具体分析如下：</w:t>
      </w:r>
    </w:p>
    <w:p>
      <w:pPr>
        <w:numPr>
          <w:ilvl w:val="0"/>
          <w:numId w:val="0"/>
        </w:numPr>
        <w:spacing w:line="360" w:lineRule="auto"/>
        <w:ind w:firstLine="482" w:firstLineChars="200"/>
        <w:rPr>
          <w:rFonts w:hint="eastAsia" w:ascii="宋体" w:hAnsi="宋体"/>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1</w:t>
      </w:r>
      <w:r>
        <w:rPr>
          <w:rFonts w:hint="eastAsia" w:ascii="宋体" w:hAnsi="宋体"/>
          <w:b/>
          <w:bCs/>
          <w:sz w:val="24"/>
          <w:szCs w:val="24"/>
          <w:lang w:eastAsia="zh-CN"/>
        </w:rPr>
        <w:t>）</w:t>
      </w:r>
      <w:r>
        <w:rPr>
          <w:rFonts w:hint="eastAsia" w:ascii="宋体" w:hAnsi="宋体"/>
          <w:b/>
          <w:bCs/>
          <w:sz w:val="24"/>
          <w:szCs w:val="24"/>
        </w:rPr>
        <w:t>适应症不适宜：</w:t>
      </w:r>
      <w:r>
        <w:rPr>
          <w:rFonts w:ascii="宋体" w:hAnsi="宋体"/>
          <w:sz w:val="24"/>
          <w:szCs w:val="24"/>
        </w:rPr>
        <w:t>此次点评</w:t>
      </w:r>
      <w:r>
        <w:rPr>
          <w:rFonts w:hint="eastAsia" w:ascii="宋体" w:hAnsi="宋体"/>
          <w:sz w:val="24"/>
          <w:szCs w:val="24"/>
        </w:rPr>
        <w:t>该项不合理占比17</w:t>
      </w:r>
      <w:r>
        <w:rPr>
          <w:rFonts w:ascii="宋体" w:hAnsi="宋体"/>
          <w:sz w:val="24"/>
          <w:szCs w:val="24"/>
        </w:rPr>
        <w:t>%</w:t>
      </w:r>
      <w:r>
        <w:rPr>
          <w:rFonts w:hint="eastAsia" w:ascii="宋体" w:hAnsi="宋体"/>
          <w:sz w:val="24"/>
          <w:szCs w:val="24"/>
        </w:rPr>
        <w:t>，主要是注射用头孢曲松钠给药适应症不适宜；建议临床医生严格把握抗菌药物适应症</w:t>
      </w:r>
      <w:r>
        <w:rPr>
          <w:rFonts w:hint="eastAsia" w:ascii="宋体" w:hAnsi="宋体"/>
          <w:sz w:val="24"/>
          <w:szCs w:val="24"/>
          <w:lang w:eastAsia="zh-CN"/>
        </w:rPr>
        <w:t>、科学评估患者病情的严重程度</w:t>
      </w:r>
      <w:r>
        <w:rPr>
          <w:rFonts w:hint="eastAsia" w:ascii="宋体" w:hAnsi="宋体"/>
          <w:sz w:val="24"/>
          <w:szCs w:val="24"/>
        </w:rPr>
        <w:t>；应用抗菌药物</w:t>
      </w:r>
      <w:r>
        <w:rPr>
          <w:rFonts w:hint="eastAsia" w:ascii="宋体" w:hAnsi="宋体"/>
          <w:sz w:val="24"/>
          <w:szCs w:val="24"/>
          <w:lang w:eastAsia="zh-CN"/>
        </w:rPr>
        <w:t>尽量</w:t>
      </w:r>
      <w:r>
        <w:rPr>
          <w:rFonts w:hint="eastAsia" w:ascii="宋体" w:hAnsi="宋体"/>
          <w:sz w:val="24"/>
          <w:szCs w:val="24"/>
        </w:rPr>
        <w:t>明确细菌感染证据，若为经验性抗感染用药，应在使用前进行病原学送检，根据回报结果，及时调整用药。</w:t>
      </w:r>
    </w:p>
    <w:p>
      <w:pPr>
        <w:numPr>
          <w:ilvl w:val="0"/>
          <w:numId w:val="0"/>
        </w:numPr>
        <w:spacing w:line="360" w:lineRule="auto"/>
        <w:ind w:firstLine="482" w:firstLineChars="200"/>
        <w:rPr>
          <w:rFonts w:hint="eastAsia" w:ascii="宋体" w:hAnsi="宋体"/>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2</w:t>
      </w:r>
      <w:r>
        <w:rPr>
          <w:rFonts w:hint="eastAsia" w:ascii="宋体" w:hAnsi="宋体"/>
          <w:b/>
          <w:bCs/>
          <w:sz w:val="24"/>
          <w:szCs w:val="24"/>
          <w:lang w:eastAsia="zh-CN"/>
        </w:rPr>
        <w:t>）</w:t>
      </w:r>
      <w:r>
        <w:rPr>
          <w:rFonts w:hint="eastAsia" w:ascii="宋体" w:hAnsi="宋体"/>
          <w:b/>
          <w:bCs/>
          <w:sz w:val="24"/>
          <w:szCs w:val="24"/>
        </w:rPr>
        <w:t>用法用量不适宜：</w:t>
      </w:r>
      <w:r>
        <w:rPr>
          <w:rFonts w:ascii="宋体" w:hAnsi="宋体"/>
          <w:sz w:val="24"/>
          <w:szCs w:val="24"/>
        </w:rPr>
        <w:t>此次点评</w:t>
      </w:r>
      <w:r>
        <w:rPr>
          <w:rFonts w:hint="eastAsia" w:ascii="宋体" w:hAnsi="宋体"/>
          <w:sz w:val="24"/>
          <w:szCs w:val="24"/>
        </w:rPr>
        <w:t>该项不合理占比50</w:t>
      </w:r>
      <w:r>
        <w:rPr>
          <w:rFonts w:ascii="宋体" w:hAnsi="宋体"/>
          <w:sz w:val="24"/>
          <w:szCs w:val="24"/>
        </w:rPr>
        <w:t>%</w:t>
      </w:r>
      <w:r>
        <w:rPr>
          <w:rFonts w:hint="eastAsia" w:ascii="宋体" w:hAnsi="宋体"/>
          <w:sz w:val="24"/>
          <w:szCs w:val="24"/>
        </w:rPr>
        <w:t>，主要集中在注射用头孢曲松钠用法用量不适宜。建议</w:t>
      </w:r>
      <w:r>
        <w:rPr>
          <w:rFonts w:hint="eastAsia" w:ascii="宋体" w:hAnsi="宋体"/>
          <w:sz w:val="24"/>
          <w:szCs w:val="24"/>
          <w:lang w:eastAsia="zh-CN"/>
        </w:rPr>
        <w:t>临床</w:t>
      </w:r>
      <w:r>
        <w:rPr>
          <w:rFonts w:hint="eastAsia" w:ascii="宋体" w:hAnsi="宋体"/>
          <w:sz w:val="24"/>
          <w:szCs w:val="24"/>
        </w:rPr>
        <w:t>医生遵照药品说明书</w:t>
      </w:r>
      <w:r>
        <w:rPr>
          <w:rFonts w:hint="eastAsia" w:ascii="宋体" w:hAnsi="宋体"/>
          <w:sz w:val="24"/>
          <w:szCs w:val="24"/>
          <w:lang w:eastAsia="zh-CN"/>
        </w:rPr>
        <w:t>和诊疗指南规范给药</w:t>
      </w:r>
      <w:r>
        <w:rPr>
          <w:rFonts w:hint="eastAsia" w:ascii="宋体" w:hAnsi="宋体"/>
          <w:sz w:val="24"/>
          <w:szCs w:val="24"/>
        </w:rPr>
        <w:t>，遵循药品半衰期等特性给药，避免过量应用，提高</w:t>
      </w:r>
      <w:r>
        <w:rPr>
          <w:rFonts w:hint="eastAsia" w:ascii="宋体" w:hAnsi="宋体"/>
          <w:sz w:val="24"/>
          <w:szCs w:val="24"/>
          <w:lang w:eastAsia="zh-CN"/>
        </w:rPr>
        <w:t>患者</w:t>
      </w:r>
      <w:r>
        <w:rPr>
          <w:rFonts w:hint="eastAsia" w:ascii="宋体" w:hAnsi="宋体"/>
          <w:sz w:val="24"/>
          <w:szCs w:val="24"/>
        </w:rPr>
        <w:t>用药安全性</w:t>
      </w:r>
      <w:r>
        <w:rPr>
          <w:rFonts w:hint="eastAsia" w:ascii="宋体" w:hAnsi="宋体"/>
          <w:sz w:val="24"/>
          <w:szCs w:val="24"/>
          <w:lang w:eastAsia="zh-CN"/>
        </w:rPr>
        <w:t>。</w:t>
      </w:r>
    </w:p>
    <w:p>
      <w:pPr>
        <w:spacing w:line="360" w:lineRule="auto"/>
        <w:rPr>
          <w:rFonts w:hint="default" w:ascii="宋体" w:hAnsi="宋体" w:eastAsia="宋体" w:cs="宋体"/>
          <w:bCs/>
          <w:kern w:val="0"/>
          <w:sz w:val="24"/>
          <w:szCs w:val="24"/>
          <w:lang w:val="en-US" w:eastAsia="zh-CN"/>
        </w:rPr>
      </w:pPr>
      <w:r>
        <w:rPr>
          <w:rFonts w:hint="eastAsia" w:ascii="宋体" w:hAnsi="宋体" w:eastAsia="宋体" w:cs="宋体"/>
          <w:b/>
          <w:bCs w:val="0"/>
          <w:kern w:val="0"/>
          <w:sz w:val="24"/>
          <w:szCs w:val="24"/>
          <w:lang w:val="en-US" w:eastAsia="zh-CN"/>
        </w:rPr>
        <w:t>三、特殊使用级抗菌药物-注射用美罗培南专项点评</w:t>
      </w:r>
    </w:p>
    <w:p>
      <w:pPr>
        <w:numPr>
          <w:ilvl w:val="0"/>
          <w:numId w:val="0"/>
        </w:numPr>
        <w:spacing w:line="360" w:lineRule="auto"/>
        <w:ind w:firstLine="482" w:firstLineChars="200"/>
        <w:rPr>
          <w:rFonts w:hint="eastAsia" w:ascii="宋体" w:hAnsi="宋体" w:eastAsia="宋体" w:cs="宋体"/>
          <w:bCs/>
          <w:color w:val="000000"/>
          <w:sz w:val="24"/>
          <w:szCs w:val="24"/>
          <w:lang w:eastAsia="zh-CN"/>
        </w:rPr>
      </w:pPr>
      <w:r>
        <w:rPr>
          <w:rFonts w:hint="eastAsia" w:ascii="宋体" w:hAnsi="宋体" w:eastAsia="宋体" w:cs="宋体"/>
          <w:b/>
          <w:bCs/>
          <w:sz w:val="24"/>
          <w:szCs w:val="24"/>
          <w:lang w:val="en-US" w:eastAsia="zh-CN"/>
        </w:rPr>
        <w:t>1.点评科室：</w:t>
      </w:r>
      <w:r>
        <w:rPr>
          <w:rFonts w:hint="eastAsia" w:ascii="Times New Roman" w:hAnsi="Times New Roman" w:eastAsia="宋体" w:cs="Times New Roman"/>
          <w:bCs/>
          <w:sz w:val="24"/>
          <w:szCs w:val="24"/>
        </w:rPr>
        <w:t>2024年</w:t>
      </w:r>
      <w:r>
        <w:rPr>
          <w:rFonts w:hint="eastAsia" w:ascii="宋体" w:hAnsi="宋体" w:eastAsia="宋体" w:cs="宋体"/>
          <w:sz w:val="24"/>
          <w:szCs w:val="24"/>
          <w:lang w:val="en-US" w:eastAsia="zh-CN"/>
        </w:rPr>
        <w:t>11月份全院所有使用注射用美罗培南的科室</w:t>
      </w:r>
    </w:p>
    <w:p>
      <w:pPr>
        <w:spacing w:line="360" w:lineRule="auto"/>
        <w:ind w:firstLine="482" w:firstLineChars="200"/>
        <w:rPr>
          <w:rFonts w:ascii="Times New Roman" w:hAnsi="Times New Roman" w:eastAsia="宋体" w:cs="Times New Roman"/>
          <w:bCs/>
          <w:sz w:val="24"/>
          <w:szCs w:val="24"/>
        </w:rPr>
      </w:pPr>
      <w:r>
        <w:rPr>
          <w:rFonts w:hint="eastAsia" w:ascii="宋体" w:hAnsi="宋体" w:eastAsia="宋体" w:cs="宋体"/>
          <w:b/>
          <w:bCs/>
          <w:sz w:val="24"/>
          <w:szCs w:val="24"/>
          <w:lang w:val="en-US" w:eastAsia="zh-CN"/>
        </w:rPr>
        <w:t>2.抽样方法：</w:t>
      </w:r>
      <w:r>
        <w:rPr>
          <w:rFonts w:hint="eastAsia" w:ascii="Times New Roman" w:hAnsi="Times New Roman" w:eastAsia="宋体" w:cs="Times New Roman"/>
          <w:bCs/>
          <w:sz w:val="24"/>
          <w:szCs w:val="24"/>
        </w:rPr>
        <w:t>全部抽取2024年11月份全院使用</w:t>
      </w:r>
      <w:r>
        <w:rPr>
          <w:rFonts w:hint="eastAsia" w:ascii="Times New Roman" w:hAnsi="Times New Roman" w:eastAsia="宋体" w:cs="Times New Roman"/>
          <w:bCs/>
          <w:sz w:val="24"/>
          <w:szCs w:val="24"/>
          <w:lang w:eastAsia="zh-CN"/>
        </w:rPr>
        <w:t>注射用</w:t>
      </w:r>
      <w:r>
        <w:rPr>
          <w:rFonts w:hint="eastAsia" w:ascii="Times New Roman" w:hAnsi="Times New Roman" w:eastAsia="宋体" w:cs="Times New Roman"/>
          <w:bCs/>
          <w:sz w:val="24"/>
          <w:szCs w:val="24"/>
        </w:rPr>
        <w:t>美罗培南病例，共21份，其中肺病二科4份，肺病三科5份</w:t>
      </w:r>
      <w:r>
        <w:rPr>
          <w:rFonts w:hint="eastAsia" w:ascii="宋体" w:hAnsi="宋体" w:eastAsia="宋体" w:cs="宋体"/>
          <w:bCs/>
          <w:sz w:val="24"/>
          <w:szCs w:val="24"/>
        </w:rPr>
        <w:t>，肺病四科1份，中西医肝病科1份，肝病科4份，感染一科2份，呼吸内科1份，急诊监护</w:t>
      </w:r>
      <w:r>
        <w:rPr>
          <w:rFonts w:hint="eastAsia" w:ascii="Times New Roman" w:hAnsi="Times New Roman" w:eastAsia="宋体" w:cs="Times New Roman"/>
          <w:bCs/>
          <w:sz w:val="24"/>
          <w:szCs w:val="24"/>
        </w:rPr>
        <w:t>室1份，神内科1份，外四科1份。对以上21份病例医嘱进行美罗培南合理性用药评价，抽样比例为100%。</w:t>
      </w:r>
    </w:p>
    <w:p>
      <w:pPr>
        <w:spacing w:line="360" w:lineRule="auto"/>
        <w:ind w:firstLine="48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3.评价依据：</w:t>
      </w: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碳青霉烯类抗菌药物临床应用评价细则</w:t>
      </w:r>
      <w:r>
        <w:rPr>
          <w:rFonts w:hint="eastAsia" w:ascii="Times New Roman" w:hAnsi="Times New Roman" w:eastAsia="宋体" w:cs="Times New Roman"/>
          <w:bCs/>
          <w:kern w:val="0"/>
          <w:sz w:val="24"/>
          <w:szCs w:val="24"/>
        </w:rPr>
        <w:t>》（见附件）</w:t>
      </w:r>
      <w:r>
        <w:rPr>
          <w:rFonts w:hint="eastAsia" w:ascii="Times New Roman" w:hAnsi="Times New Roman" w:eastAsia="宋体" w:cs="Times New Roman"/>
          <w:bCs/>
          <w:kern w:val="0"/>
          <w:sz w:val="24"/>
          <w:szCs w:val="24"/>
          <w:lang w:eastAsia="zh-CN"/>
        </w:rPr>
        <w:t>，</w:t>
      </w:r>
      <w:r>
        <w:rPr>
          <w:rFonts w:hint="eastAsia" w:ascii="宋体" w:hAnsi="宋体"/>
          <w:bCs/>
          <w:kern w:val="0"/>
          <w:sz w:val="24"/>
          <w:szCs w:val="24"/>
        </w:rPr>
        <w:t>《国家抗微生物治疗指南（第3版）》</w:t>
      </w:r>
      <w:r>
        <w:rPr>
          <w:rFonts w:hint="eastAsia" w:ascii="宋体" w:hAnsi="宋体"/>
          <w:bCs/>
          <w:kern w:val="0"/>
          <w:sz w:val="24"/>
          <w:szCs w:val="24"/>
          <w:lang w:eastAsia="zh-CN"/>
        </w:rPr>
        <w:t>，</w:t>
      </w:r>
      <w:r>
        <w:rPr>
          <w:rFonts w:hint="eastAsia" w:ascii="宋体" w:hAnsi="宋体"/>
          <w:bCs/>
          <w:kern w:val="0"/>
          <w:sz w:val="24"/>
          <w:szCs w:val="24"/>
        </w:rPr>
        <w:t>《抗菌药物临床应用指导原则》（2015版）</w:t>
      </w:r>
      <w:r>
        <w:rPr>
          <w:rFonts w:hint="eastAsia" w:ascii="宋体" w:hAnsi="宋体"/>
          <w:bCs/>
          <w:kern w:val="0"/>
          <w:sz w:val="24"/>
          <w:szCs w:val="24"/>
          <w:lang w:eastAsia="zh-CN"/>
        </w:rPr>
        <w:t>，</w:t>
      </w:r>
      <w:r>
        <w:rPr>
          <w:rFonts w:hint="eastAsia" w:ascii="Times New Roman" w:hAnsi="Times New Roman" w:eastAsia="宋体" w:cs="Times New Roman"/>
          <w:bCs/>
          <w:kern w:val="0"/>
          <w:sz w:val="24"/>
          <w:szCs w:val="24"/>
        </w:rPr>
        <w:t>《中国国家处方集（第2版）》</w:t>
      </w:r>
      <w:r>
        <w:rPr>
          <w:rFonts w:hint="eastAsia" w:ascii="Times New Roman" w:hAnsi="Times New Roman" w:eastAsia="宋体" w:cs="Times New Roman"/>
          <w:bCs/>
          <w:kern w:val="0"/>
          <w:sz w:val="24"/>
          <w:szCs w:val="24"/>
          <w:lang w:eastAsia="zh-CN"/>
        </w:rPr>
        <w:t>，</w:t>
      </w:r>
      <w:r>
        <w:rPr>
          <w:rFonts w:ascii="宋体" w:hAnsi="宋体"/>
          <w:bCs/>
          <w:kern w:val="0"/>
          <w:sz w:val="24"/>
          <w:szCs w:val="24"/>
        </w:rPr>
        <w:t>药品说明书。</w:t>
      </w:r>
    </w:p>
    <w:p>
      <w:pPr>
        <w:pStyle w:val="4"/>
        <w:spacing w:line="360" w:lineRule="auto"/>
        <w:ind w:firstLine="482" w:firstLineChars="200"/>
        <w:rPr>
          <w:rFonts w:hint="eastAsia" w:ascii="宋体" w:hAnsi="宋体" w:eastAsia="宋体"/>
          <w:b/>
          <w:sz w:val="24"/>
          <w:szCs w:val="24"/>
          <w:lang w:eastAsia="zh-CN"/>
        </w:rPr>
      </w:pPr>
      <w:r>
        <w:rPr>
          <w:rFonts w:hint="eastAsia" w:ascii="宋体" w:hAnsi="宋体" w:eastAsia="宋体" w:cs="宋体"/>
          <w:b/>
          <w:bCs w:val="0"/>
          <w:kern w:val="0"/>
          <w:sz w:val="24"/>
          <w:szCs w:val="24"/>
          <w:lang w:val="en-US" w:eastAsia="zh-CN"/>
        </w:rPr>
        <w:t>4.</w:t>
      </w:r>
      <w:r>
        <w:rPr>
          <w:rFonts w:hint="eastAsia" w:ascii="宋体" w:hAnsi="宋体" w:eastAsia="宋体"/>
          <w:b/>
          <w:sz w:val="24"/>
          <w:szCs w:val="24"/>
          <w:lang w:eastAsia="zh-CN"/>
        </w:rPr>
        <w:t>点评结果</w:t>
      </w:r>
    </w:p>
    <w:tbl>
      <w:tblPr>
        <w:tblStyle w:val="2"/>
        <w:tblpPr w:leftFromText="180" w:rightFromText="180" w:vertAnchor="text" w:horzAnchor="page" w:tblpXSpec="center" w:tblpY="145"/>
        <w:tblOverlap w:val="never"/>
        <w:tblW w:w="7821" w:type="dxa"/>
        <w:jc w:val="center"/>
        <w:tblInd w:w="0" w:type="dxa"/>
        <w:tblLayout w:type="fixed"/>
        <w:tblCellMar>
          <w:top w:w="15" w:type="dxa"/>
          <w:left w:w="15" w:type="dxa"/>
          <w:bottom w:w="15" w:type="dxa"/>
          <w:right w:w="15" w:type="dxa"/>
        </w:tblCellMar>
      </w:tblPr>
      <w:tblGrid>
        <w:gridCol w:w="469"/>
        <w:gridCol w:w="1245"/>
        <w:gridCol w:w="740"/>
        <w:gridCol w:w="731"/>
        <w:gridCol w:w="4636"/>
      </w:tblGrid>
      <w:tr>
        <w:tblPrEx>
          <w:tblLayout w:type="fixed"/>
          <w:tblCellMar>
            <w:top w:w="15" w:type="dxa"/>
            <w:left w:w="15" w:type="dxa"/>
            <w:bottom w:w="15" w:type="dxa"/>
            <w:right w:w="15"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科室</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病例数</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不合理</w:t>
            </w:r>
            <w:r>
              <w:rPr>
                <w:rFonts w:ascii="Times New Roman" w:hAnsi="Times New Roman" w:eastAsia="宋体" w:cs="Times New Roman"/>
                <w:kern w:val="0"/>
                <w:sz w:val="24"/>
                <w:szCs w:val="24"/>
                <w:lang w:bidi="ar"/>
              </w:rPr>
              <w:br w:type="textWrapping"/>
            </w:r>
            <w:r>
              <w:rPr>
                <w:rFonts w:hint="eastAsia" w:ascii="Times New Roman" w:hAnsi="Times New Roman" w:eastAsia="宋体" w:cs="Times New Roman"/>
                <w:kern w:val="0"/>
                <w:sz w:val="24"/>
                <w:szCs w:val="24"/>
                <w:lang w:bidi="ar"/>
              </w:rPr>
              <w:t>条</w:t>
            </w:r>
            <w:r>
              <w:rPr>
                <w:rFonts w:ascii="Times New Roman" w:hAnsi="Times New Roman" w:eastAsia="宋体" w:cs="Times New Roman"/>
                <w:kern w:val="0"/>
                <w:sz w:val="24"/>
                <w:szCs w:val="24"/>
                <w:lang w:bidi="ar"/>
              </w:rPr>
              <w:t>数</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不合理用药情况</w:t>
            </w:r>
          </w:p>
        </w:tc>
      </w:tr>
      <w:tr>
        <w:tblPrEx>
          <w:tblLayout w:type="fixed"/>
          <w:tblCellMar>
            <w:top w:w="15" w:type="dxa"/>
            <w:left w:w="15" w:type="dxa"/>
            <w:bottom w:w="15" w:type="dxa"/>
            <w:right w:w="15"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肺</w:t>
            </w:r>
            <w:r>
              <w:rPr>
                <w:rFonts w:ascii="Times New Roman" w:hAnsi="Times New Roman" w:eastAsia="宋体" w:cs="Times New Roman"/>
                <w:kern w:val="0"/>
                <w:sz w:val="24"/>
                <w:szCs w:val="24"/>
                <w:lang w:bidi="ar"/>
              </w:rPr>
              <w:t>二科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用法用量不适宜，联合用药不适宜</w:t>
            </w:r>
          </w:p>
        </w:tc>
      </w:tr>
      <w:tr>
        <w:tblPrEx>
          <w:tblLayout w:type="fixed"/>
          <w:tblCellMar>
            <w:top w:w="15" w:type="dxa"/>
            <w:left w:w="15" w:type="dxa"/>
            <w:bottom w:w="15" w:type="dxa"/>
            <w:right w:w="15"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肺三科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5</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w:t>
            </w:r>
          </w:p>
        </w:tc>
        <w:tc>
          <w:tcPr>
            <w:tcW w:w="4636" w:type="dxa"/>
            <w:tcBorders>
              <w:top w:val="single" w:color="000000" w:sz="4" w:space="0"/>
              <w:bottom w:val="single" w:color="000000" w:sz="4" w:space="0"/>
              <w:right w:val="single" w:color="000000" w:sz="4" w:space="0"/>
            </w:tcBorders>
            <w:vAlign w:val="center"/>
          </w:tcPr>
          <w:p>
            <w:pPr>
              <w:widowControl/>
              <w:tabs>
                <w:tab w:val="left" w:pos="1906"/>
                <w:tab w:val="center" w:pos="2530"/>
              </w:tabs>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无病原学送检，无用药指征</w:t>
            </w:r>
          </w:p>
        </w:tc>
      </w:tr>
      <w:tr>
        <w:tblPrEx>
          <w:tblLayout w:type="fixed"/>
          <w:tblCellMar>
            <w:top w:w="15" w:type="dxa"/>
            <w:left w:w="15" w:type="dxa"/>
            <w:bottom w:w="15" w:type="dxa"/>
            <w:right w:w="15"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肺</w:t>
            </w:r>
            <w:r>
              <w:rPr>
                <w:rFonts w:ascii="Times New Roman" w:hAnsi="Times New Roman" w:eastAsia="宋体" w:cs="Times New Roman"/>
                <w:kern w:val="0"/>
                <w:sz w:val="24"/>
                <w:szCs w:val="24"/>
                <w:lang w:bidi="ar"/>
              </w:rPr>
              <w:t>四科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联合用药不适宜</w:t>
            </w:r>
          </w:p>
        </w:tc>
      </w:tr>
      <w:tr>
        <w:tblPrEx>
          <w:tblLayout w:type="fixed"/>
          <w:tblCellMar>
            <w:top w:w="15" w:type="dxa"/>
            <w:left w:w="15" w:type="dxa"/>
            <w:bottom w:w="15" w:type="dxa"/>
            <w:right w:w="15" w:type="dxa"/>
          </w:tblCellMar>
        </w:tblPrEx>
        <w:trPr>
          <w:trHeight w:val="48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中西肝病</w:t>
            </w:r>
            <w:r>
              <w:rPr>
                <w:rFonts w:ascii="Times New Roman" w:hAnsi="Times New Roman" w:eastAsia="宋体" w:cs="Times New Roman"/>
                <w:kern w:val="0"/>
                <w:sz w:val="24"/>
                <w:szCs w:val="24"/>
                <w:lang w:bidi="ar"/>
              </w:rPr>
              <w:t>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0</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w:t>
            </w:r>
          </w:p>
        </w:tc>
      </w:tr>
      <w:tr>
        <w:tblPrEx>
          <w:tblLayout w:type="fixed"/>
        </w:tblPrEx>
        <w:trPr>
          <w:trHeight w:val="407"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肝病科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Cs/>
                <w:kern w:val="0"/>
                <w:sz w:val="24"/>
                <w:szCs w:val="24"/>
                <w:lang w:bidi="ar"/>
              </w:rPr>
            </w:pPr>
            <w:r>
              <w:rPr>
                <w:rFonts w:hint="eastAsia" w:ascii="Times New Roman" w:hAnsi="Times New Roman" w:eastAsia="宋体" w:cs="Times New Roman"/>
                <w:kern w:val="0"/>
                <w:sz w:val="24"/>
                <w:szCs w:val="24"/>
                <w:lang w:bidi="ar"/>
              </w:rPr>
              <w:t>无病原学送检</w:t>
            </w:r>
          </w:p>
        </w:tc>
      </w:tr>
      <w:tr>
        <w:tblPrEx>
          <w:tblLayout w:type="fixed"/>
          <w:tblCellMar>
            <w:top w:w="15" w:type="dxa"/>
            <w:left w:w="15" w:type="dxa"/>
            <w:bottom w:w="15" w:type="dxa"/>
            <w:right w:w="15" w:type="dxa"/>
          </w:tblCellMar>
        </w:tblPrEx>
        <w:trPr>
          <w:trHeight w:val="9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kern w:val="0"/>
                <w:sz w:val="24"/>
                <w:szCs w:val="24"/>
                <w:lang w:bidi="ar"/>
              </w:rPr>
              <w:t>感染一科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0</w:t>
            </w:r>
          </w:p>
        </w:tc>
        <w:tc>
          <w:tcPr>
            <w:tcW w:w="4636" w:type="dxa"/>
            <w:tcBorders>
              <w:top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kern w:val="0"/>
                <w:sz w:val="24"/>
                <w:szCs w:val="24"/>
                <w:lang w:bidi="ar"/>
              </w:rPr>
              <w:t>-</w:t>
            </w:r>
          </w:p>
        </w:tc>
      </w:tr>
      <w:tr>
        <w:tblPrEx>
          <w:tblLayout w:type="fixed"/>
          <w:tblCellMar>
            <w:top w:w="15" w:type="dxa"/>
            <w:left w:w="15" w:type="dxa"/>
            <w:bottom w:w="15" w:type="dxa"/>
            <w:right w:w="15" w:type="dxa"/>
          </w:tblCellMar>
        </w:tblPrEx>
        <w:trPr>
          <w:trHeight w:val="422"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bCs/>
                <w:sz w:val="24"/>
                <w:szCs w:val="24"/>
              </w:rPr>
              <w:t>7</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bCs/>
                <w:sz w:val="24"/>
                <w:szCs w:val="24"/>
              </w:rPr>
              <w:t>呼吸</w:t>
            </w:r>
            <w:r>
              <w:rPr>
                <w:rFonts w:ascii="Times New Roman" w:hAnsi="Times New Roman" w:eastAsia="宋体" w:cs="Times New Roman"/>
                <w:bCs/>
                <w:sz w:val="24"/>
                <w:szCs w:val="24"/>
              </w:rPr>
              <w:t>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kern w:val="0"/>
                <w:sz w:val="24"/>
                <w:szCs w:val="24"/>
                <w:lang w:bidi="ar"/>
              </w:rPr>
              <w:t>联合用药不适宜</w:t>
            </w:r>
          </w:p>
        </w:tc>
      </w:tr>
      <w:tr>
        <w:tblPrEx>
          <w:tblLayout w:type="fixed"/>
          <w:tblCellMar>
            <w:top w:w="15" w:type="dxa"/>
            <w:left w:w="15" w:type="dxa"/>
            <w:bottom w:w="15" w:type="dxa"/>
            <w:right w:w="15" w:type="dxa"/>
          </w:tblCellMar>
        </w:tblPrEx>
        <w:trPr>
          <w:trHeight w:val="448"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bCs/>
                <w:sz w:val="24"/>
                <w:szCs w:val="24"/>
              </w:rPr>
              <w:t>急诊监护</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kern w:val="0"/>
                <w:sz w:val="24"/>
                <w:szCs w:val="24"/>
                <w:lang w:bidi="ar"/>
              </w:rPr>
              <w:t>用法用量不适宜</w:t>
            </w:r>
          </w:p>
        </w:tc>
      </w:tr>
      <w:tr>
        <w:tblPrEx>
          <w:tblLayout w:type="fixed"/>
          <w:tblCellMar>
            <w:top w:w="15" w:type="dxa"/>
            <w:left w:w="15" w:type="dxa"/>
            <w:bottom w:w="15" w:type="dxa"/>
            <w:right w:w="15" w:type="dxa"/>
          </w:tblCellMar>
        </w:tblPrEx>
        <w:trPr>
          <w:trHeight w:val="90"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bCs/>
                <w:sz w:val="24"/>
                <w:szCs w:val="24"/>
              </w:rPr>
              <w:t>神内科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kern w:val="0"/>
                <w:sz w:val="24"/>
                <w:szCs w:val="24"/>
                <w:lang w:bidi="ar"/>
              </w:rPr>
              <w:t>联合用药不适宜</w:t>
            </w:r>
          </w:p>
        </w:tc>
      </w:tr>
      <w:tr>
        <w:tblPrEx>
          <w:tblLayout w:type="fixed"/>
          <w:tblCellMar>
            <w:top w:w="15" w:type="dxa"/>
            <w:left w:w="15" w:type="dxa"/>
            <w:bottom w:w="15" w:type="dxa"/>
            <w:right w:w="15" w:type="dxa"/>
          </w:tblCellMar>
        </w:tblPrEx>
        <w:trPr>
          <w:trHeight w:val="425" w:hRule="atLeast"/>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ascii="Times New Roman" w:hAnsi="Times New Roman" w:eastAsia="宋体" w:cs="Times New Roman"/>
                <w:bCs/>
                <w:sz w:val="24"/>
                <w:szCs w:val="24"/>
              </w:rPr>
              <w:t>外四科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p>
        </w:tc>
        <w:tc>
          <w:tcPr>
            <w:tcW w:w="4636" w:type="dxa"/>
            <w:tcBorders>
              <w:top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kern w:val="0"/>
                <w:sz w:val="24"/>
                <w:szCs w:val="24"/>
                <w:lang w:bidi="ar"/>
              </w:rPr>
              <w:t>用法用量不适宜，联合用药不适宜</w:t>
            </w:r>
          </w:p>
        </w:tc>
      </w:tr>
      <w:tr>
        <w:tblPrEx>
          <w:tblLayout w:type="fixed"/>
          <w:tblCellMar>
            <w:top w:w="15" w:type="dxa"/>
            <w:left w:w="15" w:type="dxa"/>
            <w:bottom w:w="15" w:type="dxa"/>
            <w:right w:w="15" w:type="dxa"/>
          </w:tblCellMar>
        </w:tblPrEx>
        <w:trPr>
          <w:trHeight w:val="285"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kern w:val="0"/>
                <w:sz w:val="24"/>
                <w:szCs w:val="24"/>
                <w:lang w:bidi="ar"/>
              </w:rPr>
            </w:pPr>
            <w:r>
              <w:rPr>
                <w:rFonts w:ascii="Times New Roman" w:hAnsi="Times New Roman" w:eastAsia="宋体" w:cs="Times New Roman"/>
                <w:b/>
                <w:kern w:val="0"/>
                <w:sz w:val="24"/>
                <w:szCs w:val="24"/>
                <w:lang w:bidi="ar"/>
              </w:rPr>
              <w:t>合 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kern w:val="0"/>
                <w:sz w:val="24"/>
                <w:szCs w:val="24"/>
                <w:lang w:bidi="ar"/>
              </w:rPr>
            </w:pPr>
            <w:r>
              <w:rPr>
                <w:rFonts w:hint="eastAsia" w:ascii="Times New Roman" w:hAnsi="Times New Roman" w:eastAsia="宋体" w:cs="Times New Roman"/>
                <w:b/>
                <w:kern w:val="0"/>
                <w:sz w:val="24"/>
                <w:szCs w:val="24"/>
                <w:lang w:bidi="ar"/>
              </w:rPr>
              <w:t>21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kern w:val="0"/>
                <w:sz w:val="24"/>
                <w:szCs w:val="24"/>
                <w:lang w:bidi="ar"/>
              </w:rPr>
            </w:pPr>
            <w:r>
              <w:rPr>
                <w:rFonts w:hint="eastAsia" w:ascii="Times New Roman" w:hAnsi="Times New Roman" w:eastAsia="宋体" w:cs="Times New Roman"/>
                <w:b/>
                <w:kern w:val="0"/>
                <w:sz w:val="24"/>
                <w:szCs w:val="24"/>
                <w:lang w:bidi="ar"/>
              </w:rPr>
              <w:t>11</w:t>
            </w:r>
          </w:p>
        </w:tc>
        <w:tc>
          <w:tcPr>
            <w:tcW w:w="4636" w:type="dxa"/>
            <w:tcBorders>
              <w:top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kern w:val="0"/>
                <w:sz w:val="24"/>
                <w:szCs w:val="24"/>
                <w:lang w:bidi="ar"/>
              </w:rPr>
            </w:pPr>
            <w:r>
              <w:rPr>
                <w:rFonts w:hint="eastAsia" w:ascii="Times New Roman" w:hAnsi="Times New Roman" w:eastAsia="宋体" w:cs="Times New Roman"/>
                <w:b/>
                <w:kern w:val="0"/>
                <w:sz w:val="24"/>
                <w:szCs w:val="24"/>
                <w:lang w:bidi="ar"/>
              </w:rPr>
              <w:t>-</w:t>
            </w:r>
          </w:p>
        </w:tc>
      </w:tr>
    </w:tbl>
    <w:p>
      <w:pPr>
        <w:pStyle w:val="4"/>
        <w:numPr>
          <w:ilvl w:val="0"/>
          <w:numId w:val="0"/>
        </w:numPr>
        <w:spacing w:line="360" w:lineRule="auto"/>
        <w:rPr>
          <w:rFonts w:hint="eastAsia" w:ascii="宋体" w:hAnsi="宋体" w:eastAsia="宋体"/>
          <w:b/>
          <w:sz w:val="24"/>
          <w:szCs w:val="24"/>
          <w:lang w:eastAsia="zh-CN"/>
        </w:rPr>
      </w:pPr>
    </w:p>
    <w:p>
      <w:pPr>
        <w:pStyle w:val="4"/>
        <w:numPr>
          <w:ilvl w:val="0"/>
          <w:numId w:val="0"/>
        </w:numPr>
        <w:spacing w:line="360" w:lineRule="auto"/>
        <w:jc w:val="center"/>
        <w:rPr>
          <w:rFonts w:hint="eastAsia" w:ascii="宋体" w:hAnsi="宋体" w:eastAsia="宋体"/>
          <w:b/>
          <w:sz w:val="24"/>
          <w:szCs w:val="24"/>
          <w:lang w:eastAsia="zh-CN"/>
        </w:rPr>
      </w:pPr>
      <w:r>
        <w:drawing>
          <wp:inline distT="0" distB="0" distL="114300" distR="114300">
            <wp:extent cx="5970270" cy="3434715"/>
            <wp:effectExtent l="0" t="0" r="1143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70270" cy="3434715"/>
                    </a:xfrm>
                    <a:prstGeom prst="rect">
                      <a:avLst/>
                    </a:prstGeom>
                    <a:noFill/>
                    <a:ln>
                      <a:noFill/>
                    </a:ln>
                  </pic:spPr>
                </pic:pic>
              </a:graphicData>
            </a:graphic>
          </wp:inline>
        </w:drawing>
      </w:r>
    </w:p>
    <w:p>
      <w:pPr>
        <w:pStyle w:val="4"/>
        <w:numPr>
          <w:ilvl w:val="0"/>
          <w:numId w:val="3"/>
        </w:numPr>
        <w:spacing w:line="360" w:lineRule="auto"/>
        <w:ind w:firstLine="482" w:firstLineChars="200"/>
        <w:rPr>
          <w:rFonts w:hint="eastAsia" w:ascii="宋体" w:hAnsi="宋体" w:eastAsia="宋体"/>
          <w:b/>
          <w:sz w:val="24"/>
          <w:szCs w:val="24"/>
          <w:lang w:eastAsia="zh-CN"/>
        </w:rPr>
      </w:pPr>
      <w:r>
        <w:rPr>
          <w:rFonts w:ascii="宋体" w:hAnsi="宋体"/>
          <w:b/>
          <w:bCs/>
          <w:sz w:val="24"/>
          <w:szCs w:val="24"/>
        </w:rPr>
        <w:t>改进措施及建议</w:t>
      </w:r>
    </w:p>
    <w:p>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从此次美罗培南</w:t>
      </w:r>
      <w:r>
        <w:rPr>
          <w:rFonts w:hint="eastAsia" w:ascii="宋体" w:hAnsi="宋体" w:eastAsia="宋体" w:cs="宋体"/>
          <w:sz w:val="24"/>
          <w:szCs w:val="24"/>
          <w:lang w:eastAsia="zh-CN"/>
        </w:rPr>
        <w:t>专项</w:t>
      </w:r>
      <w:r>
        <w:rPr>
          <w:rFonts w:hint="eastAsia" w:ascii="宋体" w:hAnsi="宋体" w:eastAsia="宋体" w:cs="宋体"/>
          <w:sz w:val="24"/>
          <w:szCs w:val="24"/>
        </w:rPr>
        <w:t>点评结果来看，不合理医嘱主要为</w:t>
      </w:r>
      <w:r>
        <w:rPr>
          <w:rFonts w:hint="eastAsia" w:ascii="宋体" w:hAnsi="宋体" w:eastAsia="宋体" w:cs="宋体"/>
          <w:kern w:val="0"/>
          <w:sz w:val="24"/>
          <w:szCs w:val="24"/>
          <w:lang w:bidi="ar"/>
        </w:rPr>
        <w:t>用法用量不适宜，联合用药不适宜，无适应症用药，用药前无病原学送检</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具体分析如下：</w:t>
      </w:r>
    </w:p>
    <w:p>
      <w:pPr>
        <w:numPr>
          <w:ilvl w:val="0"/>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用法用量不适宜：</w:t>
      </w:r>
      <w:r>
        <w:rPr>
          <w:rFonts w:hint="eastAsia" w:ascii="宋体" w:hAnsi="宋体" w:eastAsia="宋体" w:cs="宋体"/>
          <w:sz w:val="24"/>
          <w:szCs w:val="24"/>
        </w:rPr>
        <w:t>主要是注射用美罗培南给药剂量不适宜，非脑膜炎患者通常推荐1g或0.5g q8</w:t>
      </w:r>
      <w:r>
        <w:rPr>
          <w:rFonts w:hint="eastAsia" w:ascii="宋体" w:hAnsi="宋体" w:eastAsia="宋体" w:cs="宋体"/>
          <w:sz w:val="24"/>
          <w:szCs w:val="24"/>
          <w:lang w:val="en-US" w:eastAsia="zh-CN"/>
        </w:rPr>
        <w:t>-12</w:t>
      </w:r>
      <w:r>
        <w:rPr>
          <w:rFonts w:hint="eastAsia" w:ascii="宋体" w:hAnsi="宋体" w:eastAsia="宋体" w:cs="宋体"/>
          <w:sz w:val="24"/>
          <w:szCs w:val="24"/>
        </w:rPr>
        <w:t>h给药，</w:t>
      </w:r>
      <w:r>
        <w:rPr>
          <w:rFonts w:hint="eastAsia" w:ascii="宋体" w:hAnsi="宋体" w:eastAsia="宋体" w:cs="宋体"/>
          <w:sz w:val="24"/>
          <w:szCs w:val="24"/>
          <w:lang w:eastAsia="zh-CN"/>
        </w:rPr>
        <w:t>点评</w:t>
      </w:r>
      <w:r>
        <w:rPr>
          <w:rFonts w:hint="eastAsia" w:ascii="宋体" w:hAnsi="宋体" w:eastAsia="宋体" w:cs="宋体"/>
          <w:sz w:val="24"/>
          <w:szCs w:val="24"/>
        </w:rPr>
        <w:t>中发现有3g</w:t>
      </w:r>
      <w:r>
        <w:rPr>
          <w:rFonts w:hint="eastAsia" w:ascii="宋体" w:hAnsi="宋体" w:eastAsia="宋体" w:cs="宋体"/>
          <w:sz w:val="24"/>
          <w:szCs w:val="24"/>
          <w:lang w:val="en-US" w:eastAsia="zh-CN"/>
        </w:rPr>
        <w:t xml:space="preserve"> q8h</w:t>
      </w:r>
      <w:r>
        <w:rPr>
          <w:rFonts w:hint="eastAsia" w:ascii="宋体" w:hAnsi="宋体" w:eastAsia="宋体" w:cs="宋体"/>
          <w:sz w:val="24"/>
          <w:szCs w:val="24"/>
        </w:rPr>
        <w:t>情况，超出说明书</w:t>
      </w:r>
      <w:r>
        <w:rPr>
          <w:rFonts w:hint="eastAsia" w:ascii="宋体" w:hAnsi="宋体" w:eastAsia="宋体" w:cs="宋体"/>
          <w:sz w:val="24"/>
          <w:szCs w:val="24"/>
          <w:lang w:eastAsia="zh-CN"/>
        </w:rPr>
        <w:t>日最大</w:t>
      </w:r>
      <w:r>
        <w:rPr>
          <w:rFonts w:hint="eastAsia" w:ascii="宋体" w:hAnsi="宋体" w:eastAsia="宋体" w:cs="宋体"/>
          <w:sz w:val="24"/>
          <w:szCs w:val="24"/>
        </w:rPr>
        <w:t>给药剂量</w:t>
      </w:r>
      <w:r>
        <w:rPr>
          <w:rFonts w:hint="eastAsia" w:ascii="宋体" w:hAnsi="宋体" w:eastAsia="宋体" w:cs="宋体"/>
          <w:sz w:val="24"/>
          <w:szCs w:val="24"/>
          <w:lang w:val="en-US" w:eastAsia="zh-CN"/>
        </w:rPr>
        <w:t>6g,不良事件发生风险增加</w:t>
      </w:r>
      <w:r>
        <w:rPr>
          <w:rFonts w:hint="eastAsia" w:ascii="宋体" w:hAnsi="宋体" w:eastAsia="宋体" w:cs="宋体"/>
          <w:sz w:val="24"/>
          <w:szCs w:val="24"/>
        </w:rPr>
        <w:t>。建议科室医生遵照药品说明书和相关诊疗指南给药，遵循药品半衰期等特性给药，避免过量应用，提高用药安全性。</w:t>
      </w:r>
    </w:p>
    <w:p>
      <w:pPr>
        <w:pStyle w:val="5"/>
        <w:numPr>
          <w:ilvl w:val="0"/>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联合用药不适宜：</w:t>
      </w:r>
      <w:r>
        <w:rPr>
          <w:rFonts w:hint="eastAsia" w:ascii="宋体" w:hAnsi="宋体" w:eastAsia="宋体" w:cs="宋体"/>
          <w:sz w:val="24"/>
          <w:szCs w:val="24"/>
        </w:rPr>
        <w:t>主要</w:t>
      </w:r>
      <w:r>
        <w:rPr>
          <w:rFonts w:hint="eastAsia" w:ascii="宋体" w:hAnsi="宋体" w:eastAsia="宋体" w:cs="宋体"/>
          <w:sz w:val="24"/>
          <w:szCs w:val="24"/>
          <w:lang w:eastAsia="zh-CN"/>
        </w:rPr>
        <w:t>是</w:t>
      </w:r>
      <w:r>
        <w:rPr>
          <w:rFonts w:hint="eastAsia" w:ascii="宋体" w:hAnsi="宋体" w:eastAsia="宋体" w:cs="宋体"/>
          <w:sz w:val="24"/>
          <w:szCs w:val="24"/>
        </w:rPr>
        <w:t>无明确理由情况下，美罗培南与其他抗菌药物联合应用，因为美罗培南适应症为：①多重耐药但对该类药物敏感的需氧革兰阴性杆菌所致严重感染，包括血流感染、肺炎、上尿路感染、中枢神经系统感染、腹腔感染等；②脆弱拟杆菌等厌氧菌与需氧菌混合感染的重症患者；③粒缺伴发热等病原菌尚未查明的免疫缺陷患者中重症感染的经验治疗；④耐碳青霉烯类肠杆菌科细菌(CRE)感染，因此患者在以上用药适应症中，无需再联合其他抗菌药物。建议医生掌握美罗培南的抗菌范围和用药指征，非必要情况不建议联合用药，</w:t>
      </w:r>
      <w:r>
        <w:rPr>
          <w:rFonts w:hint="eastAsia" w:ascii="宋体" w:hAnsi="宋体" w:eastAsia="宋体" w:cs="宋体"/>
          <w:sz w:val="24"/>
          <w:szCs w:val="24"/>
          <w:lang w:eastAsia="zh-CN"/>
        </w:rPr>
        <w:t>有利于</w:t>
      </w:r>
      <w:r>
        <w:rPr>
          <w:rFonts w:hint="eastAsia" w:ascii="宋体" w:hAnsi="宋体" w:eastAsia="宋体" w:cs="宋体"/>
          <w:sz w:val="24"/>
          <w:szCs w:val="24"/>
        </w:rPr>
        <w:t>减少药品费用和降低抗菌药物使用强度。</w:t>
      </w:r>
    </w:p>
    <w:p>
      <w:pPr>
        <w:pStyle w:val="5"/>
        <w:numPr>
          <w:ilvl w:val="0"/>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无适应症给药：</w:t>
      </w:r>
      <w:r>
        <w:rPr>
          <w:rFonts w:hint="eastAsia" w:ascii="宋体" w:hAnsi="宋体" w:eastAsia="宋体" w:cs="宋体"/>
          <w:sz w:val="24"/>
          <w:szCs w:val="24"/>
        </w:rPr>
        <w:t>主要是不符合美罗培南的适应症给药，美罗培南为碳青霉烯类抗菌药物，为特殊级使用抗菌药物，无适应症给药会</w:t>
      </w:r>
      <w:r>
        <w:rPr>
          <w:rFonts w:hint="eastAsia" w:ascii="宋体" w:hAnsi="宋体" w:eastAsia="宋体" w:cs="宋体"/>
          <w:sz w:val="24"/>
          <w:szCs w:val="24"/>
          <w:lang w:eastAsia="zh-CN"/>
        </w:rPr>
        <w:t>增加</w:t>
      </w:r>
      <w:r>
        <w:rPr>
          <w:rFonts w:hint="eastAsia" w:ascii="宋体" w:hAnsi="宋体" w:eastAsia="宋体" w:cs="宋体"/>
          <w:sz w:val="24"/>
          <w:szCs w:val="24"/>
        </w:rPr>
        <w:t>细菌耐药率</w:t>
      </w:r>
      <w:r>
        <w:rPr>
          <w:rFonts w:hint="eastAsia" w:ascii="宋体" w:hAnsi="宋体" w:eastAsia="宋体" w:cs="宋体"/>
          <w:sz w:val="24"/>
          <w:szCs w:val="24"/>
          <w:lang w:eastAsia="zh-CN"/>
        </w:rPr>
        <w:t>风险和</w:t>
      </w:r>
      <w:r>
        <w:rPr>
          <w:rFonts w:hint="eastAsia" w:ascii="宋体" w:hAnsi="宋体" w:eastAsia="宋体" w:cs="宋体"/>
          <w:sz w:val="24"/>
          <w:szCs w:val="24"/>
        </w:rPr>
        <w:t>二重感染风险。建议医生明确疾病诊断，明确感染部位，尽量明确感染来源及致病菌，有针对性使用抗菌药物，有利于病人尽快康复，减少住院天数。</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使用前无病原学送检：</w:t>
      </w:r>
      <w:r>
        <w:rPr>
          <w:rFonts w:hint="eastAsia" w:ascii="宋体" w:hAnsi="宋体" w:eastAsia="宋体" w:cs="宋体"/>
          <w:sz w:val="24"/>
          <w:szCs w:val="24"/>
        </w:rPr>
        <w:t>根据《碳青霉烯类抗菌药物临床应用评价细则》使用抗菌药物前要有相应病原学送检，指细菌培养</w:t>
      </w:r>
      <w:r>
        <w:rPr>
          <w:rFonts w:hint="eastAsia" w:ascii="宋体" w:hAnsi="宋体" w:eastAsia="宋体" w:cs="宋体"/>
          <w:sz w:val="24"/>
          <w:szCs w:val="24"/>
          <w:lang w:eastAsia="zh-CN"/>
        </w:rPr>
        <w:t>等</w:t>
      </w:r>
      <w:r>
        <w:rPr>
          <w:rFonts w:hint="eastAsia" w:ascii="宋体" w:hAnsi="宋体" w:eastAsia="宋体" w:cs="宋体"/>
          <w:sz w:val="24"/>
          <w:szCs w:val="24"/>
        </w:rPr>
        <w:t>（含院外有效病原学证据），因此建议医生在使用美罗培南前病原学送检，以明确病原菌，从经验用药转变为目标治疗，及时调整抗菌药物，加快</w:t>
      </w:r>
      <w:r>
        <w:rPr>
          <w:rFonts w:hint="eastAsia" w:ascii="宋体" w:hAnsi="宋体" w:eastAsia="宋体" w:cs="宋体"/>
          <w:sz w:val="24"/>
          <w:szCs w:val="24"/>
          <w:lang w:eastAsia="zh-CN"/>
        </w:rPr>
        <w:t>患</w:t>
      </w:r>
      <w:r>
        <w:rPr>
          <w:rFonts w:hint="eastAsia" w:ascii="宋体" w:hAnsi="宋体" w:eastAsia="宋体" w:cs="宋体"/>
          <w:sz w:val="24"/>
          <w:szCs w:val="24"/>
        </w:rPr>
        <w:t>康复，减少药品费用和住院天数。</w:t>
      </w:r>
    </w:p>
    <w:p>
      <w:pPr>
        <w:pStyle w:val="4"/>
        <w:numPr>
          <w:ilvl w:val="0"/>
          <w:numId w:val="0"/>
        </w:numPr>
        <w:spacing w:line="360" w:lineRule="auto"/>
        <w:rPr>
          <w:rFonts w:hint="eastAsia" w:ascii="宋体" w:hAnsi="宋体" w:eastAsia="宋体" w:cs="宋体"/>
          <w:b/>
          <w:sz w:val="24"/>
          <w:szCs w:val="24"/>
          <w:lang w:eastAsia="zh-CN"/>
        </w:rPr>
      </w:pPr>
    </w:p>
    <w:p>
      <w:pPr>
        <w:spacing w:line="360" w:lineRule="auto"/>
        <w:ind w:firstLine="480"/>
        <w:rPr>
          <w:rFonts w:hint="eastAsia" w:ascii="宋体" w:hAnsi="宋体" w:eastAsia="宋体" w:cs="宋体"/>
          <w:bCs/>
          <w:kern w:val="0"/>
          <w:sz w:val="24"/>
          <w:szCs w:val="24"/>
        </w:rPr>
      </w:pPr>
    </w:p>
    <w:p>
      <w:pPr>
        <w:numPr>
          <w:ilvl w:val="0"/>
          <w:numId w:val="0"/>
        </w:numPr>
        <w:rPr>
          <w:rFonts w:hint="default" w:ascii="宋体" w:hAnsi="宋体"/>
          <w:bCs/>
          <w:color w:val="000000"/>
          <w:sz w:val="24"/>
          <w:szCs w:val="24"/>
          <w:lang w:val="en-US" w:eastAsia="zh-CN"/>
        </w:rPr>
      </w:pP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71CF0"/>
    <w:multiLevelType w:val="singleLevel"/>
    <w:tmpl w:val="CE971CF0"/>
    <w:lvl w:ilvl="0" w:tentative="0">
      <w:start w:val="5"/>
      <w:numFmt w:val="decimal"/>
      <w:lvlText w:val="%1."/>
      <w:lvlJc w:val="left"/>
      <w:pPr>
        <w:tabs>
          <w:tab w:val="left" w:pos="312"/>
        </w:tabs>
      </w:pPr>
    </w:lvl>
  </w:abstractNum>
  <w:abstractNum w:abstractNumId="1">
    <w:nsid w:val="F312C398"/>
    <w:multiLevelType w:val="singleLevel"/>
    <w:tmpl w:val="F312C398"/>
    <w:lvl w:ilvl="0" w:tentative="0">
      <w:start w:val="2"/>
      <w:numFmt w:val="decimal"/>
      <w:lvlText w:val="%1."/>
      <w:lvlJc w:val="left"/>
      <w:pPr>
        <w:tabs>
          <w:tab w:val="left" w:pos="312"/>
        </w:tabs>
      </w:pPr>
    </w:lvl>
  </w:abstractNum>
  <w:abstractNum w:abstractNumId="2">
    <w:nsid w:val="F9590C60"/>
    <w:multiLevelType w:val="singleLevel"/>
    <w:tmpl w:val="F9590C6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6E40"/>
    <w:rsid w:val="03C647FB"/>
    <w:rsid w:val="08210BE8"/>
    <w:rsid w:val="092D012B"/>
    <w:rsid w:val="11DB6AAC"/>
    <w:rsid w:val="120408F4"/>
    <w:rsid w:val="14E13A03"/>
    <w:rsid w:val="19DA21EE"/>
    <w:rsid w:val="1AA66854"/>
    <w:rsid w:val="1ED23D7A"/>
    <w:rsid w:val="265A3A28"/>
    <w:rsid w:val="275074F4"/>
    <w:rsid w:val="2A731D9E"/>
    <w:rsid w:val="32EB5869"/>
    <w:rsid w:val="3422679C"/>
    <w:rsid w:val="3553725A"/>
    <w:rsid w:val="35A86271"/>
    <w:rsid w:val="39C95CED"/>
    <w:rsid w:val="3BB3583D"/>
    <w:rsid w:val="3DF01006"/>
    <w:rsid w:val="3F6E574A"/>
    <w:rsid w:val="40C1169E"/>
    <w:rsid w:val="47FA7622"/>
    <w:rsid w:val="49E33805"/>
    <w:rsid w:val="4C080708"/>
    <w:rsid w:val="4DEE40CD"/>
    <w:rsid w:val="4ED57129"/>
    <w:rsid w:val="4FF707C5"/>
    <w:rsid w:val="52B40C60"/>
    <w:rsid w:val="54AE7123"/>
    <w:rsid w:val="5A615C77"/>
    <w:rsid w:val="609B1E22"/>
    <w:rsid w:val="61725640"/>
    <w:rsid w:val="64246431"/>
    <w:rsid w:val="65CA1AC2"/>
    <w:rsid w:val="6A755099"/>
    <w:rsid w:val="6F0C121A"/>
    <w:rsid w:val="71EB5734"/>
    <w:rsid w:val="764F71C7"/>
    <w:rsid w:val="7B2816B8"/>
    <w:rsid w:val="7E24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2025-01-14T06:34:00Z</dcterms:created>
  <dc:creator>Administrator</dc:creator>
  <cp:lastModifiedBy>Administrator</cp:lastModifiedBy>
  <dcterms:modified xsi:type="dcterms:W3CDTF">2025-01-15T08:39:41Z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